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4D9" w:rsidRDefault="001D14D9" w:rsidP="001D14D9">
      <w:pPr>
        <w:pStyle w:val="Header"/>
        <w:rPr>
          <w:rFonts w:ascii="Tahoma" w:hAnsi="Tahoma" w:cs="Tahoma"/>
          <w:b/>
          <w:bCs/>
          <w:spacing w:val="40"/>
          <w:sz w:val="28"/>
        </w:rPr>
      </w:pPr>
      <w:r>
        <w:rPr>
          <w:rFonts w:ascii="Tahoma" w:hAnsi="Tahoma" w:cs="Tahoma"/>
          <w:bCs/>
          <w:noProof/>
          <w:spacing w:val="40"/>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91.95pt;margin-top:-21pt;width:85.35pt;height:85.35pt;z-index:251659264" o:allowincell="f">
            <v:imagedata r:id="rId7" o:title=""/>
            <w10:wrap type="topAndBottom"/>
          </v:shape>
          <o:OLEObject Type="Embed" ProgID="MSPhotoEd.3" ShapeID="_x0000_s1027" DrawAspect="Content" ObjectID="_1654862645" r:id="rId8"/>
        </w:pict>
      </w:r>
      <w:r w:rsidRPr="00D5019B">
        <w:rPr>
          <w:rFonts w:ascii="Tahoma" w:hAnsi="Tahoma" w:cs="Tahoma"/>
          <w:bCs/>
          <w:noProof/>
          <w:spacing w:val="40"/>
          <w:sz w:val="24"/>
          <w:szCs w:val="24"/>
          <w:lang w:eastAsia="en-GB"/>
        </w:rPr>
        <w:pict>
          <v:shape id="_x0000_s1026" type="#_x0000_t75" style="position:absolute;margin-left:391.95pt;margin-top:-21pt;width:85.35pt;height:85.35pt;z-index:251658240" o:allowincell="f">
            <v:imagedata r:id="rId7" o:title=""/>
            <w10:wrap type="topAndBottom"/>
          </v:shape>
          <o:OLEObject Type="Embed" ProgID="MSPhotoEd.3" ShapeID="_x0000_s1026" DrawAspect="Content" ObjectID="_1654862644" r:id="rId9"/>
        </w:pict>
      </w:r>
      <w:r>
        <w:rPr>
          <w:rFonts w:ascii="Tahoma" w:hAnsi="Tahoma" w:cs="Tahoma"/>
          <w:b/>
          <w:bCs/>
          <w:spacing w:val="40"/>
          <w:sz w:val="28"/>
        </w:rPr>
        <w:t>FISHBOURNE PARISH COUNCIL</w:t>
      </w:r>
    </w:p>
    <w:p w:rsidR="001D14D9" w:rsidRDefault="001D14D9" w:rsidP="001D14D9">
      <w:pPr>
        <w:pStyle w:val="Header"/>
        <w:rPr>
          <w:rFonts w:ascii="Tahoma" w:hAnsi="Tahoma" w:cs="Tahoma"/>
          <w:bCs/>
          <w:spacing w:val="40"/>
          <w:sz w:val="24"/>
          <w:szCs w:val="24"/>
        </w:rPr>
      </w:pPr>
      <w:r>
        <w:rPr>
          <w:rFonts w:ascii="Tahoma" w:hAnsi="Tahoma" w:cs="Tahoma"/>
          <w:bCs/>
          <w:spacing w:val="40"/>
          <w:sz w:val="24"/>
          <w:szCs w:val="24"/>
        </w:rPr>
        <w:t>Clerk/RFO: Lucy Wright</w:t>
      </w:r>
    </w:p>
    <w:p w:rsidR="001D14D9" w:rsidRDefault="001D14D9" w:rsidP="001D14D9">
      <w:pPr>
        <w:pStyle w:val="Header"/>
        <w:rPr>
          <w:rFonts w:ascii="Tahoma" w:hAnsi="Tahoma" w:cs="Tahoma"/>
          <w:bCs/>
          <w:spacing w:val="40"/>
          <w:sz w:val="24"/>
          <w:szCs w:val="24"/>
        </w:rPr>
      </w:pPr>
      <w:r>
        <w:rPr>
          <w:rFonts w:ascii="Tahoma" w:hAnsi="Tahoma" w:cs="Tahoma"/>
          <w:bCs/>
          <w:spacing w:val="40"/>
          <w:sz w:val="24"/>
          <w:szCs w:val="24"/>
        </w:rPr>
        <w:t xml:space="preserve">Parish Office, </w:t>
      </w:r>
      <w:proofErr w:type="gramStart"/>
      <w:r>
        <w:rPr>
          <w:rFonts w:ascii="Tahoma" w:hAnsi="Tahoma" w:cs="Tahoma"/>
          <w:bCs/>
          <w:spacing w:val="40"/>
          <w:sz w:val="24"/>
          <w:szCs w:val="24"/>
        </w:rPr>
        <w:t>The</w:t>
      </w:r>
      <w:proofErr w:type="gramEnd"/>
      <w:r>
        <w:rPr>
          <w:rFonts w:ascii="Tahoma" w:hAnsi="Tahoma" w:cs="Tahoma"/>
          <w:bCs/>
          <w:spacing w:val="40"/>
          <w:sz w:val="24"/>
          <w:szCs w:val="24"/>
        </w:rPr>
        <w:t xml:space="preserve"> Fishbourne Centre, Blackboy Lane</w:t>
      </w:r>
    </w:p>
    <w:p w:rsidR="001D14D9" w:rsidRDefault="001D14D9" w:rsidP="001D14D9">
      <w:pPr>
        <w:pStyle w:val="Header"/>
        <w:rPr>
          <w:rFonts w:ascii="Tahoma" w:hAnsi="Tahoma" w:cs="Tahoma"/>
          <w:bCs/>
          <w:spacing w:val="40"/>
          <w:sz w:val="24"/>
          <w:szCs w:val="24"/>
        </w:rPr>
      </w:pPr>
      <w:r>
        <w:rPr>
          <w:rFonts w:ascii="Tahoma" w:hAnsi="Tahoma" w:cs="Tahoma"/>
          <w:bCs/>
          <w:spacing w:val="40"/>
          <w:sz w:val="24"/>
          <w:szCs w:val="24"/>
        </w:rPr>
        <w:t>Fishbourne PO18 8BE</w:t>
      </w:r>
    </w:p>
    <w:p w:rsidR="001D14D9" w:rsidRDefault="001D14D9" w:rsidP="001D14D9">
      <w:pPr>
        <w:pStyle w:val="Header"/>
        <w:rPr>
          <w:rFonts w:ascii="Tahoma" w:hAnsi="Tahoma" w:cs="Tahoma"/>
          <w:bCs/>
          <w:spacing w:val="40"/>
          <w:sz w:val="24"/>
          <w:szCs w:val="24"/>
        </w:rPr>
      </w:pPr>
      <w:proofErr w:type="gramStart"/>
      <w:r>
        <w:rPr>
          <w:rFonts w:ascii="Tahoma" w:hAnsi="Tahoma" w:cs="Tahoma"/>
          <w:bCs/>
          <w:spacing w:val="40"/>
          <w:sz w:val="24"/>
          <w:szCs w:val="24"/>
        </w:rPr>
        <w:t>Tel 01243 788563    Parishclerk@fishbourne-pc.gov.uk</w:t>
      </w:r>
      <w:proofErr w:type="gramEnd"/>
    </w:p>
    <w:p w:rsidR="001D14D9" w:rsidRDefault="001D14D9" w:rsidP="001D14D9">
      <w:pPr>
        <w:pStyle w:val="Header"/>
        <w:rPr>
          <w:rFonts w:ascii="Tahoma" w:hAnsi="Tahoma" w:cs="Tahoma"/>
          <w:bCs/>
          <w:spacing w:val="40"/>
          <w:sz w:val="24"/>
          <w:szCs w:val="24"/>
        </w:rPr>
      </w:pPr>
    </w:p>
    <w:p w:rsidR="00DF7DB9" w:rsidRDefault="001A1A40">
      <w:pPr>
        <w:rPr>
          <w:rFonts w:ascii="Verdana" w:hAnsi="Verdana"/>
          <w:b/>
          <w:sz w:val="24"/>
          <w:szCs w:val="24"/>
        </w:rPr>
      </w:pPr>
      <w:r w:rsidRPr="001A1A40">
        <w:rPr>
          <w:rFonts w:ascii="Verdana" w:hAnsi="Verdana"/>
          <w:b/>
          <w:sz w:val="24"/>
          <w:szCs w:val="24"/>
        </w:rPr>
        <w:t>CHICHESTER DISTRICT COUNCIL INTERIM STATEMENT FOR HOUSING DEVELOPMENT</w:t>
      </w:r>
      <w:r>
        <w:rPr>
          <w:rFonts w:ascii="Verdana" w:hAnsi="Verdana"/>
          <w:b/>
          <w:sz w:val="24"/>
          <w:szCs w:val="24"/>
        </w:rPr>
        <w:t xml:space="preserve"> – CONSULTATION</w:t>
      </w:r>
      <w:r w:rsidR="00BF3E04">
        <w:rPr>
          <w:rFonts w:ascii="Verdana" w:hAnsi="Verdana"/>
          <w:b/>
          <w:sz w:val="24"/>
          <w:szCs w:val="24"/>
        </w:rPr>
        <w:t xml:space="preserve"> June-July 2020</w:t>
      </w:r>
    </w:p>
    <w:p w:rsidR="001A1A40" w:rsidRDefault="001A1A40">
      <w:pPr>
        <w:rPr>
          <w:rFonts w:ascii="Verdana" w:hAnsi="Verdana"/>
          <w:b/>
          <w:sz w:val="24"/>
          <w:szCs w:val="24"/>
        </w:rPr>
      </w:pPr>
      <w:r>
        <w:rPr>
          <w:rFonts w:ascii="Verdana" w:hAnsi="Verdana"/>
          <w:b/>
          <w:sz w:val="24"/>
          <w:szCs w:val="24"/>
        </w:rPr>
        <w:t>Response from Fishbourne Parish Council</w:t>
      </w:r>
    </w:p>
    <w:p w:rsidR="001A1A40" w:rsidRDefault="001A1A40" w:rsidP="001A1A40">
      <w:pPr>
        <w:ind w:left="-142" w:right="-46" w:firstLine="142"/>
        <w:rPr>
          <w:rFonts w:ascii="Verdana" w:hAnsi="Verdana"/>
          <w:sz w:val="24"/>
          <w:szCs w:val="24"/>
        </w:rPr>
      </w:pPr>
      <w:r w:rsidRPr="001A1A40">
        <w:rPr>
          <w:rFonts w:ascii="Verdana" w:hAnsi="Verdana"/>
          <w:sz w:val="24"/>
          <w:szCs w:val="24"/>
        </w:rPr>
        <w:t>Overal</w:t>
      </w:r>
      <w:r>
        <w:rPr>
          <w:rFonts w:ascii="Verdana" w:hAnsi="Verdana"/>
          <w:sz w:val="24"/>
          <w:szCs w:val="24"/>
        </w:rPr>
        <w:t>l this is an excellent document with a clearly expressed aim (to build up as “weighty” a policy statement as it can under the circumstances) and a coherent strategy for achieving this (by listing as evidence the relevant po</w:t>
      </w:r>
      <w:r w:rsidR="00815C7F">
        <w:rPr>
          <w:rFonts w:ascii="Verdana" w:hAnsi="Verdana"/>
          <w:sz w:val="24"/>
          <w:szCs w:val="24"/>
        </w:rPr>
        <w:t>l</w:t>
      </w:r>
      <w:r>
        <w:rPr>
          <w:rFonts w:ascii="Verdana" w:hAnsi="Verdana"/>
          <w:sz w:val="24"/>
          <w:szCs w:val="24"/>
        </w:rPr>
        <w:t>icies in C</w:t>
      </w:r>
      <w:r w:rsidR="00815C7F">
        <w:rPr>
          <w:rFonts w:ascii="Verdana" w:hAnsi="Verdana"/>
          <w:sz w:val="24"/>
          <w:szCs w:val="24"/>
        </w:rPr>
        <w:t>hichester Local Plan Key Policies (CLPKP), the draft policies prepared for the Local Plan Review (2016-2035)</w:t>
      </w:r>
      <w:r w:rsidR="007F3FAC">
        <w:rPr>
          <w:rFonts w:ascii="Verdana" w:hAnsi="Verdana"/>
          <w:sz w:val="24"/>
          <w:szCs w:val="24"/>
        </w:rPr>
        <w:t xml:space="preserve"> (LPR)</w:t>
      </w:r>
      <w:r w:rsidR="00815C7F">
        <w:rPr>
          <w:rFonts w:ascii="Verdana" w:hAnsi="Verdana"/>
          <w:sz w:val="24"/>
          <w:szCs w:val="24"/>
        </w:rPr>
        <w:t xml:space="preserve"> and </w:t>
      </w:r>
      <w:r w:rsidR="00DD039E">
        <w:rPr>
          <w:rFonts w:ascii="Verdana" w:hAnsi="Verdana"/>
          <w:sz w:val="24"/>
          <w:szCs w:val="24"/>
        </w:rPr>
        <w:t xml:space="preserve">evidence </w:t>
      </w:r>
      <w:r w:rsidR="00E60BF5">
        <w:rPr>
          <w:rFonts w:ascii="Verdana" w:hAnsi="Verdana"/>
          <w:sz w:val="24"/>
          <w:szCs w:val="24"/>
        </w:rPr>
        <w:t>of consistency</w:t>
      </w:r>
      <w:r w:rsidR="00815C7F">
        <w:rPr>
          <w:rFonts w:ascii="Verdana" w:hAnsi="Verdana"/>
          <w:sz w:val="24"/>
          <w:szCs w:val="24"/>
        </w:rPr>
        <w:t xml:space="preserve"> </w:t>
      </w:r>
      <w:r w:rsidR="00DD039E">
        <w:rPr>
          <w:rFonts w:ascii="Verdana" w:hAnsi="Verdana"/>
          <w:sz w:val="24"/>
          <w:szCs w:val="24"/>
        </w:rPr>
        <w:t>of policies with the National Planning Policy Framework, 2019 (NPPF).</w:t>
      </w:r>
      <w:r w:rsidR="006E0F03">
        <w:rPr>
          <w:rFonts w:ascii="Verdana" w:hAnsi="Verdana"/>
          <w:sz w:val="24"/>
          <w:szCs w:val="24"/>
        </w:rPr>
        <w:t xml:space="preserve">  The greater consistency, the greater the strength of the Statement.</w:t>
      </w:r>
    </w:p>
    <w:p w:rsidR="006E0F03" w:rsidRDefault="006E0F03" w:rsidP="001A1A40">
      <w:pPr>
        <w:ind w:left="-142" w:right="-46" w:firstLine="142"/>
        <w:rPr>
          <w:rFonts w:ascii="Verdana" w:hAnsi="Verdana"/>
          <w:sz w:val="24"/>
          <w:szCs w:val="24"/>
        </w:rPr>
      </w:pPr>
      <w:r>
        <w:rPr>
          <w:rFonts w:ascii="Verdana" w:hAnsi="Verdana"/>
          <w:sz w:val="24"/>
          <w:szCs w:val="24"/>
        </w:rPr>
        <w:t>Our response</w:t>
      </w:r>
      <w:r w:rsidR="00694E8D">
        <w:rPr>
          <w:rFonts w:ascii="Verdana" w:hAnsi="Verdana"/>
          <w:sz w:val="24"/>
          <w:szCs w:val="24"/>
        </w:rPr>
        <w:t>s</w:t>
      </w:r>
      <w:r>
        <w:rPr>
          <w:rFonts w:ascii="Verdana" w:hAnsi="Verdana"/>
          <w:sz w:val="24"/>
          <w:szCs w:val="24"/>
        </w:rPr>
        <w:t xml:space="preserve"> to individual sections are </w:t>
      </w:r>
      <w:r w:rsidR="00694E8D">
        <w:rPr>
          <w:rFonts w:ascii="Verdana" w:hAnsi="Verdana"/>
          <w:sz w:val="24"/>
          <w:szCs w:val="24"/>
        </w:rPr>
        <w:t>listed</w:t>
      </w:r>
      <w:r>
        <w:rPr>
          <w:rFonts w:ascii="Verdana" w:hAnsi="Verdana"/>
          <w:sz w:val="24"/>
          <w:szCs w:val="24"/>
        </w:rPr>
        <w:t xml:space="preserve"> below:</w:t>
      </w:r>
    </w:p>
    <w:p w:rsidR="006E0F03" w:rsidRDefault="006E0F03" w:rsidP="001A1A40">
      <w:pPr>
        <w:ind w:left="-142" w:right="-46" w:firstLine="142"/>
        <w:rPr>
          <w:rFonts w:ascii="Verdana" w:hAnsi="Verdana"/>
          <w:sz w:val="24"/>
          <w:szCs w:val="24"/>
        </w:rPr>
      </w:pPr>
      <w:r>
        <w:rPr>
          <w:rFonts w:ascii="Verdana" w:hAnsi="Verdana"/>
          <w:sz w:val="24"/>
          <w:szCs w:val="24"/>
        </w:rPr>
        <w:t>2.4.  While para. 2.3 claims the Statement will ensure “development comes forward in the most suitable locations”, para. 2.4 talks of “prioritising progress on delivery of known sites</w:t>
      </w:r>
      <w:r w:rsidR="00694E8D">
        <w:rPr>
          <w:rFonts w:ascii="Verdana" w:hAnsi="Verdana"/>
          <w:sz w:val="24"/>
          <w:szCs w:val="24"/>
        </w:rPr>
        <w:t xml:space="preserve"> including We</w:t>
      </w:r>
      <w:r>
        <w:rPr>
          <w:rFonts w:ascii="Verdana" w:hAnsi="Verdana"/>
          <w:sz w:val="24"/>
          <w:szCs w:val="24"/>
        </w:rPr>
        <w:t>st of Chichester”</w:t>
      </w:r>
      <w:r w:rsidR="00694E8D">
        <w:rPr>
          <w:rFonts w:ascii="Verdana" w:hAnsi="Verdana"/>
          <w:sz w:val="24"/>
          <w:szCs w:val="24"/>
        </w:rPr>
        <w:t xml:space="preserve"> – despite the reference in para 5 of the Housing Policy Statement of the need to ”preserve the intervisibility between the South Downs National Park and the Chichester Harbour AONB.” </w:t>
      </w:r>
    </w:p>
    <w:p w:rsidR="00694E8D" w:rsidRDefault="00694E8D" w:rsidP="00694E8D">
      <w:pPr>
        <w:spacing w:after="0"/>
        <w:ind w:left="-142" w:right="-46" w:firstLine="142"/>
        <w:rPr>
          <w:rFonts w:ascii="Verdana" w:hAnsi="Verdana"/>
          <w:sz w:val="24"/>
          <w:szCs w:val="24"/>
        </w:rPr>
      </w:pPr>
      <w:r>
        <w:rPr>
          <w:rFonts w:ascii="Verdana" w:hAnsi="Verdana"/>
          <w:sz w:val="24"/>
          <w:szCs w:val="24"/>
        </w:rPr>
        <w:t>SUGGESTED AMENDMENT:   DELETE reference to priorities in para. 2.4</w:t>
      </w:r>
      <w:r w:rsidR="006F2DEB">
        <w:rPr>
          <w:rFonts w:ascii="Verdana" w:hAnsi="Verdana"/>
          <w:sz w:val="24"/>
          <w:szCs w:val="24"/>
        </w:rPr>
        <w:t xml:space="preserve"> so as to remove the conflict.</w:t>
      </w:r>
    </w:p>
    <w:p w:rsidR="007F3FAC" w:rsidRDefault="007F3FAC" w:rsidP="00694E8D">
      <w:pPr>
        <w:spacing w:after="0"/>
        <w:ind w:left="-142" w:right="-46" w:firstLine="142"/>
        <w:rPr>
          <w:rFonts w:ascii="Verdana" w:hAnsi="Verdana"/>
          <w:sz w:val="24"/>
          <w:szCs w:val="24"/>
        </w:rPr>
      </w:pPr>
    </w:p>
    <w:p w:rsidR="007F3FAC" w:rsidRDefault="007F3FAC" w:rsidP="00694E8D">
      <w:pPr>
        <w:spacing w:after="0"/>
        <w:ind w:left="-142" w:right="-46" w:firstLine="142"/>
        <w:rPr>
          <w:rFonts w:ascii="Verdana" w:hAnsi="Verdana"/>
          <w:sz w:val="24"/>
          <w:szCs w:val="24"/>
        </w:rPr>
      </w:pPr>
      <w:r>
        <w:rPr>
          <w:rFonts w:ascii="Verdana" w:hAnsi="Verdana"/>
          <w:sz w:val="24"/>
          <w:szCs w:val="24"/>
        </w:rPr>
        <w:t xml:space="preserve">4.2 While the requirement that sites put forward “should not be, for example, dependent upon delivery of significant off-site infrastructure” this is clearly sensible for the interim statement but would not be deliverable in </w:t>
      </w:r>
      <w:r w:rsidR="006F2DEB">
        <w:rPr>
          <w:rFonts w:ascii="Verdana" w:hAnsi="Verdana"/>
          <w:sz w:val="24"/>
          <w:szCs w:val="24"/>
        </w:rPr>
        <w:t>LPR since the only feasible sites in Fishbourne would not be deliverable without substantial road improvements.</w:t>
      </w:r>
    </w:p>
    <w:p w:rsidR="006F2DEB" w:rsidRDefault="006F2DEB" w:rsidP="00694E8D">
      <w:pPr>
        <w:spacing w:after="0"/>
        <w:ind w:left="-142" w:right="-46" w:firstLine="142"/>
        <w:rPr>
          <w:rFonts w:ascii="Verdana" w:hAnsi="Verdana"/>
          <w:sz w:val="24"/>
          <w:szCs w:val="24"/>
        </w:rPr>
      </w:pPr>
    </w:p>
    <w:p w:rsidR="006F2DEB" w:rsidRDefault="006F2DEB" w:rsidP="00694E8D">
      <w:pPr>
        <w:spacing w:after="0"/>
        <w:ind w:left="-142" w:right="-46" w:firstLine="142"/>
        <w:rPr>
          <w:rFonts w:ascii="Verdana" w:hAnsi="Verdana"/>
          <w:sz w:val="24"/>
          <w:szCs w:val="24"/>
        </w:rPr>
      </w:pPr>
      <w:r>
        <w:rPr>
          <w:rFonts w:ascii="Verdana" w:hAnsi="Verdana"/>
          <w:sz w:val="24"/>
          <w:szCs w:val="24"/>
        </w:rPr>
        <w:t>Interim Housing Policy Statement</w:t>
      </w:r>
    </w:p>
    <w:p w:rsidR="006F2DEB" w:rsidRDefault="006F2DEB" w:rsidP="00694E8D">
      <w:pPr>
        <w:spacing w:after="0"/>
        <w:ind w:left="-142" w:right="-46" w:firstLine="142"/>
        <w:rPr>
          <w:rFonts w:ascii="Verdana" w:hAnsi="Verdana"/>
          <w:sz w:val="24"/>
          <w:szCs w:val="24"/>
        </w:rPr>
      </w:pPr>
      <w:r>
        <w:rPr>
          <w:rFonts w:ascii="Verdana" w:hAnsi="Verdana"/>
          <w:sz w:val="24"/>
          <w:szCs w:val="24"/>
        </w:rPr>
        <w:t>6.1 and 6.2 (1 – 5).  Fully agree.</w:t>
      </w:r>
    </w:p>
    <w:p w:rsidR="006F2DEB" w:rsidRDefault="006F2DEB" w:rsidP="00694E8D">
      <w:pPr>
        <w:spacing w:after="0"/>
        <w:ind w:left="-142" w:right="-46" w:firstLine="142"/>
        <w:rPr>
          <w:rFonts w:ascii="Verdana" w:hAnsi="Verdana"/>
          <w:sz w:val="24"/>
          <w:szCs w:val="24"/>
        </w:rPr>
      </w:pPr>
    </w:p>
    <w:p w:rsidR="006F2DEB" w:rsidRDefault="00375AE6" w:rsidP="00694E8D">
      <w:pPr>
        <w:spacing w:after="0"/>
        <w:ind w:left="-142" w:right="-46" w:firstLine="142"/>
        <w:rPr>
          <w:rFonts w:ascii="Verdana" w:hAnsi="Verdana"/>
          <w:sz w:val="24"/>
          <w:szCs w:val="24"/>
        </w:rPr>
      </w:pPr>
      <w:r>
        <w:rPr>
          <w:rFonts w:ascii="Verdana" w:hAnsi="Verdana"/>
          <w:sz w:val="24"/>
          <w:szCs w:val="24"/>
        </w:rPr>
        <w:lastRenderedPageBreak/>
        <w:t>6.2 (6)  The Statement fails to address key issues such as the impact of wildlife corridors on housing numbers and merely seems to pass the responsibility to developers who “should demonstrate that they will not affect the potential or value of the wildlife corridor”.</w:t>
      </w:r>
    </w:p>
    <w:p w:rsidR="00375AE6" w:rsidRDefault="00375AE6" w:rsidP="00694E8D">
      <w:pPr>
        <w:spacing w:after="0"/>
        <w:ind w:left="-142" w:right="-46" w:firstLine="142"/>
        <w:rPr>
          <w:rFonts w:ascii="Verdana" w:hAnsi="Verdana"/>
          <w:sz w:val="24"/>
          <w:szCs w:val="24"/>
        </w:rPr>
      </w:pPr>
    </w:p>
    <w:p w:rsidR="00067360" w:rsidRDefault="00375AE6" w:rsidP="00694E8D">
      <w:pPr>
        <w:spacing w:after="0"/>
        <w:ind w:left="-142" w:right="-46" w:firstLine="142"/>
        <w:rPr>
          <w:rFonts w:ascii="Verdana" w:hAnsi="Verdana"/>
          <w:sz w:val="24"/>
          <w:szCs w:val="24"/>
        </w:rPr>
      </w:pPr>
      <w:r>
        <w:rPr>
          <w:rFonts w:ascii="Verdana" w:hAnsi="Verdana"/>
          <w:sz w:val="24"/>
          <w:szCs w:val="24"/>
        </w:rPr>
        <w:t xml:space="preserve">SUGGESTED AMENDMENT: Add numerical data to show what is meant by “potential or value” and make LPR S30 </w:t>
      </w:r>
      <w:r w:rsidR="00067360">
        <w:rPr>
          <w:rFonts w:ascii="Verdana" w:hAnsi="Verdana"/>
          <w:sz w:val="24"/>
          <w:szCs w:val="24"/>
        </w:rPr>
        <w:t xml:space="preserve">accessible, preferably by providing a link.  If LPR S30 does not contain data concerning the impact of wildlife </w:t>
      </w:r>
    </w:p>
    <w:p w:rsidR="00375AE6" w:rsidRDefault="00067360" w:rsidP="006A7B0A">
      <w:pPr>
        <w:spacing w:after="0"/>
        <w:ind w:left="-142" w:right="-46"/>
        <w:rPr>
          <w:rFonts w:ascii="Verdana" w:hAnsi="Verdana"/>
          <w:sz w:val="24"/>
          <w:szCs w:val="24"/>
        </w:rPr>
      </w:pPr>
      <w:proofErr w:type="gramStart"/>
      <w:r>
        <w:rPr>
          <w:rFonts w:ascii="Verdana" w:hAnsi="Verdana"/>
          <w:sz w:val="24"/>
          <w:szCs w:val="24"/>
        </w:rPr>
        <w:t>corridors</w:t>
      </w:r>
      <w:proofErr w:type="gramEnd"/>
      <w:r>
        <w:rPr>
          <w:rFonts w:ascii="Verdana" w:hAnsi="Verdana"/>
          <w:sz w:val="24"/>
          <w:szCs w:val="24"/>
        </w:rPr>
        <w:t xml:space="preserve"> on housing numbers, this information should be urgently distributed so that parishes can make accurate forecasts of their housing availability.</w:t>
      </w:r>
    </w:p>
    <w:p w:rsidR="00067360" w:rsidRDefault="00067360" w:rsidP="00694E8D">
      <w:pPr>
        <w:spacing w:after="0"/>
        <w:ind w:left="-142" w:right="-46" w:firstLine="142"/>
        <w:rPr>
          <w:rFonts w:ascii="Verdana" w:hAnsi="Verdana"/>
          <w:sz w:val="24"/>
          <w:szCs w:val="24"/>
        </w:rPr>
      </w:pPr>
    </w:p>
    <w:p w:rsidR="00067360" w:rsidRDefault="00067360" w:rsidP="00694E8D">
      <w:pPr>
        <w:spacing w:after="0"/>
        <w:ind w:left="-142" w:right="-46" w:firstLine="142"/>
        <w:rPr>
          <w:rFonts w:ascii="Verdana" w:hAnsi="Verdana"/>
          <w:sz w:val="24"/>
          <w:szCs w:val="24"/>
        </w:rPr>
      </w:pPr>
      <w:r>
        <w:rPr>
          <w:rFonts w:ascii="Verdana" w:hAnsi="Verdana"/>
          <w:sz w:val="24"/>
          <w:szCs w:val="24"/>
        </w:rPr>
        <w:t>6.2 (7) – 6.2 (12).  Agree</w:t>
      </w:r>
      <w:r w:rsidR="001641D3">
        <w:rPr>
          <w:rFonts w:ascii="Verdana" w:hAnsi="Verdana"/>
          <w:sz w:val="24"/>
          <w:szCs w:val="24"/>
        </w:rPr>
        <w:t>.</w:t>
      </w:r>
    </w:p>
    <w:p w:rsidR="009D4BC1" w:rsidRDefault="009D4BC1" w:rsidP="00694E8D">
      <w:pPr>
        <w:spacing w:after="0"/>
        <w:ind w:left="-142" w:right="-46" w:firstLine="142"/>
        <w:rPr>
          <w:rFonts w:ascii="Verdana" w:hAnsi="Verdana"/>
          <w:sz w:val="24"/>
          <w:szCs w:val="24"/>
        </w:rPr>
      </w:pPr>
    </w:p>
    <w:p w:rsidR="009D4BC1" w:rsidRDefault="009D4BC1" w:rsidP="00694E8D">
      <w:pPr>
        <w:spacing w:after="0"/>
        <w:ind w:left="-142" w:right="-46" w:firstLine="142"/>
        <w:rPr>
          <w:rFonts w:ascii="Verdana" w:hAnsi="Verdana"/>
          <w:sz w:val="24"/>
          <w:szCs w:val="24"/>
        </w:rPr>
      </w:pPr>
      <w:r>
        <w:rPr>
          <w:rFonts w:ascii="Verdana" w:hAnsi="Verdana"/>
          <w:sz w:val="24"/>
          <w:szCs w:val="24"/>
        </w:rPr>
        <w:t xml:space="preserve">MAJOR CONCERNS. </w:t>
      </w:r>
    </w:p>
    <w:p w:rsidR="009D4BC1" w:rsidRDefault="009D4BC1" w:rsidP="009D4BC1">
      <w:pPr>
        <w:pStyle w:val="ListParagraph"/>
        <w:numPr>
          <w:ilvl w:val="0"/>
          <w:numId w:val="1"/>
        </w:numPr>
        <w:spacing w:after="0"/>
        <w:ind w:right="-46"/>
        <w:rPr>
          <w:rFonts w:ascii="Verdana" w:hAnsi="Verdana"/>
          <w:sz w:val="24"/>
          <w:szCs w:val="24"/>
        </w:rPr>
      </w:pPr>
      <w:r>
        <w:rPr>
          <w:rFonts w:ascii="Verdana" w:hAnsi="Verdana"/>
          <w:sz w:val="24"/>
          <w:szCs w:val="24"/>
        </w:rPr>
        <w:t>We can find few references to the cumulative effect of increased traffic approaching Fishbourne Roundabout (or using unsuitable country lanes as rat runs and thereby creating high risk areas at crossroads and junctions) as a result of all the current and proposed new building to the west of Fishbourne.</w:t>
      </w:r>
    </w:p>
    <w:p w:rsidR="003328DB" w:rsidRPr="003328DB" w:rsidRDefault="003328DB" w:rsidP="003328DB">
      <w:pPr>
        <w:spacing w:after="0"/>
        <w:ind w:right="-46"/>
        <w:rPr>
          <w:rFonts w:ascii="Verdana" w:hAnsi="Verdana"/>
          <w:sz w:val="24"/>
          <w:szCs w:val="24"/>
        </w:rPr>
      </w:pPr>
    </w:p>
    <w:p w:rsidR="009D4BC1" w:rsidRPr="003C3850" w:rsidRDefault="009D4BC1" w:rsidP="003C3850">
      <w:pPr>
        <w:pStyle w:val="ListParagraph"/>
        <w:numPr>
          <w:ilvl w:val="0"/>
          <w:numId w:val="1"/>
        </w:numPr>
        <w:spacing w:after="0"/>
        <w:ind w:right="-46"/>
        <w:jc w:val="both"/>
        <w:rPr>
          <w:rFonts w:ascii="Verdana" w:hAnsi="Verdana"/>
          <w:sz w:val="24"/>
          <w:szCs w:val="24"/>
        </w:rPr>
      </w:pPr>
      <w:r w:rsidRPr="003C3850">
        <w:rPr>
          <w:rFonts w:ascii="Verdana" w:hAnsi="Verdana"/>
          <w:sz w:val="24"/>
          <w:szCs w:val="24"/>
        </w:rPr>
        <w:t>While some small builders may be put off from applying during the life of the Interim Statemen</w:t>
      </w:r>
      <w:r w:rsidR="00610FF7" w:rsidRPr="003C3850">
        <w:rPr>
          <w:rFonts w:ascii="Verdana" w:hAnsi="Verdana"/>
          <w:sz w:val="24"/>
          <w:szCs w:val="24"/>
        </w:rPr>
        <w:t>t, large developers are unlikely</w:t>
      </w:r>
      <w:r w:rsidRPr="003C3850">
        <w:rPr>
          <w:rFonts w:ascii="Verdana" w:hAnsi="Verdana"/>
          <w:sz w:val="24"/>
          <w:szCs w:val="24"/>
        </w:rPr>
        <w:t xml:space="preserve"> to be deterred</w:t>
      </w:r>
      <w:r w:rsidR="00610FF7" w:rsidRPr="003C3850">
        <w:rPr>
          <w:rFonts w:ascii="Verdana" w:hAnsi="Verdana"/>
          <w:sz w:val="24"/>
          <w:szCs w:val="24"/>
        </w:rPr>
        <w:t xml:space="preserve"> and will use the NPPF’s </w:t>
      </w:r>
      <w:r w:rsidR="003C3850" w:rsidRPr="003C3850">
        <w:rPr>
          <w:rFonts w:ascii="Verdana" w:hAnsi="Verdana"/>
          <w:sz w:val="24"/>
          <w:szCs w:val="24"/>
        </w:rPr>
        <w:t>“</w:t>
      </w:r>
      <w:r w:rsidR="00610FF7" w:rsidRPr="003C3850">
        <w:rPr>
          <w:rFonts w:ascii="Verdana" w:hAnsi="Verdana"/>
          <w:sz w:val="24"/>
          <w:szCs w:val="24"/>
        </w:rPr>
        <w:t>presumption in favour of sustainable development</w:t>
      </w:r>
      <w:r w:rsidR="003C3850" w:rsidRPr="003C3850">
        <w:rPr>
          <w:rFonts w:ascii="Verdana" w:hAnsi="Verdana"/>
          <w:sz w:val="24"/>
          <w:szCs w:val="24"/>
        </w:rPr>
        <w:t>”</w:t>
      </w:r>
      <w:r w:rsidR="00610FF7" w:rsidRPr="003C3850">
        <w:rPr>
          <w:rFonts w:ascii="Verdana" w:hAnsi="Verdana"/>
          <w:sz w:val="24"/>
          <w:szCs w:val="24"/>
        </w:rPr>
        <w:t xml:space="preserve"> especially where the Planning Authority is unable to show a 5 year housing</w:t>
      </w:r>
      <w:r w:rsidR="003C3850" w:rsidRPr="003C3850">
        <w:rPr>
          <w:rFonts w:ascii="Verdana" w:hAnsi="Verdana"/>
          <w:sz w:val="24"/>
          <w:szCs w:val="24"/>
        </w:rPr>
        <w:t xml:space="preserve"> supply. Should the LPA refuse an offer from a large developer, especially one whose time limit on an offer may be running out, an appeal would almost be certain.  That is why for months now we have asked the LPA and our MP to raise at national l</w:t>
      </w:r>
      <w:r w:rsidR="003C3850">
        <w:rPr>
          <w:rFonts w:ascii="Verdana" w:hAnsi="Verdana"/>
          <w:sz w:val="24"/>
          <w:szCs w:val="24"/>
        </w:rPr>
        <w:t>e</w:t>
      </w:r>
      <w:r w:rsidR="003C3850" w:rsidRPr="003C3850">
        <w:rPr>
          <w:rFonts w:ascii="Verdana" w:hAnsi="Verdana"/>
          <w:sz w:val="24"/>
          <w:szCs w:val="24"/>
        </w:rPr>
        <w:t>ve</w:t>
      </w:r>
      <w:r w:rsidR="003C3850">
        <w:rPr>
          <w:rFonts w:ascii="Verdana" w:hAnsi="Verdana"/>
          <w:sz w:val="24"/>
          <w:szCs w:val="24"/>
        </w:rPr>
        <w:t>l the dangerous result for Neighbourhood Plans of “extending” a Local Plan without buil</w:t>
      </w:r>
      <w:r w:rsidR="00E60BF5">
        <w:rPr>
          <w:rFonts w:ascii="Verdana" w:hAnsi="Verdana"/>
          <w:sz w:val="24"/>
          <w:szCs w:val="24"/>
        </w:rPr>
        <w:t>d</w:t>
      </w:r>
      <w:r w:rsidR="003C3850">
        <w:rPr>
          <w:rFonts w:ascii="Verdana" w:hAnsi="Verdana"/>
          <w:sz w:val="24"/>
          <w:szCs w:val="24"/>
        </w:rPr>
        <w:t>ing</w:t>
      </w:r>
      <w:r w:rsidR="00E60BF5">
        <w:rPr>
          <w:rFonts w:ascii="Verdana" w:hAnsi="Verdana"/>
          <w:sz w:val="24"/>
          <w:szCs w:val="24"/>
        </w:rPr>
        <w:t xml:space="preserve"> in</w:t>
      </w:r>
      <w:r w:rsidR="003C3850">
        <w:rPr>
          <w:rFonts w:ascii="Verdana" w:hAnsi="Verdana"/>
          <w:sz w:val="24"/>
          <w:szCs w:val="24"/>
        </w:rPr>
        <w:t xml:space="preserve"> </w:t>
      </w:r>
      <w:r w:rsidR="00E60BF5">
        <w:rPr>
          <w:rFonts w:ascii="Verdana" w:hAnsi="Verdana"/>
          <w:sz w:val="24"/>
          <w:szCs w:val="24"/>
        </w:rPr>
        <w:t xml:space="preserve">a safeguard for Neighbourhood Plans during the interim.                 </w:t>
      </w:r>
    </w:p>
    <w:sectPr w:rsidR="009D4BC1" w:rsidRPr="003C3850" w:rsidSect="001D14D9">
      <w:pgSz w:w="11906" w:h="16838"/>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C16" w:rsidRDefault="00715C16" w:rsidP="001D14D9">
      <w:pPr>
        <w:spacing w:after="0" w:line="240" w:lineRule="auto"/>
      </w:pPr>
      <w:r>
        <w:separator/>
      </w:r>
    </w:p>
  </w:endnote>
  <w:endnote w:type="continuationSeparator" w:id="0">
    <w:p w:rsidR="00715C16" w:rsidRDefault="00715C16" w:rsidP="001D1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C16" w:rsidRDefault="00715C16" w:rsidP="001D14D9">
      <w:pPr>
        <w:spacing w:after="0" w:line="240" w:lineRule="auto"/>
      </w:pPr>
      <w:r>
        <w:separator/>
      </w:r>
    </w:p>
  </w:footnote>
  <w:footnote w:type="continuationSeparator" w:id="0">
    <w:p w:rsidR="00715C16" w:rsidRDefault="00715C16" w:rsidP="001D14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C37E0"/>
    <w:multiLevelType w:val="hybridMultilevel"/>
    <w:tmpl w:val="89920D74"/>
    <w:lvl w:ilvl="0" w:tplc="FC4449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A1A40"/>
    <w:rsid w:val="00067360"/>
    <w:rsid w:val="001641D3"/>
    <w:rsid w:val="001A1A40"/>
    <w:rsid w:val="001A6A7C"/>
    <w:rsid w:val="001D14D9"/>
    <w:rsid w:val="003328DB"/>
    <w:rsid w:val="00375AE6"/>
    <w:rsid w:val="003C3850"/>
    <w:rsid w:val="00610FF7"/>
    <w:rsid w:val="006529CA"/>
    <w:rsid w:val="00694E8D"/>
    <w:rsid w:val="006A7B0A"/>
    <w:rsid w:val="006E0F03"/>
    <w:rsid w:val="006F2DEB"/>
    <w:rsid w:val="00715C16"/>
    <w:rsid w:val="00735352"/>
    <w:rsid w:val="007F3FAC"/>
    <w:rsid w:val="00802D23"/>
    <w:rsid w:val="00815C7F"/>
    <w:rsid w:val="009206B7"/>
    <w:rsid w:val="009D4BC1"/>
    <w:rsid w:val="00BF3E04"/>
    <w:rsid w:val="00DD039E"/>
    <w:rsid w:val="00DF7DB9"/>
    <w:rsid w:val="00E60BF5"/>
    <w:rsid w:val="00EB15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C1"/>
    <w:pPr>
      <w:ind w:left="720"/>
      <w:contextualSpacing/>
    </w:pPr>
  </w:style>
  <w:style w:type="paragraph" w:styleId="Header">
    <w:name w:val="header"/>
    <w:basedOn w:val="Normal"/>
    <w:link w:val="HeaderChar"/>
    <w:uiPriority w:val="99"/>
    <w:unhideWhenUsed/>
    <w:rsid w:val="001D1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4D9"/>
  </w:style>
  <w:style w:type="paragraph" w:styleId="Footer">
    <w:name w:val="footer"/>
    <w:basedOn w:val="Normal"/>
    <w:link w:val="FooterChar"/>
    <w:uiPriority w:val="99"/>
    <w:semiHidden/>
    <w:unhideWhenUsed/>
    <w:rsid w:val="001D1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D14D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Hand</dc:creator>
  <cp:lastModifiedBy>Geoff Hand</cp:lastModifiedBy>
  <cp:revision>7</cp:revision>
  <dcterms:created xsi:type="dcterms:W3CDTF">2020-06-23T20:43:00Z</dcterms:created>
  <dcterms:modified xsi:type="dcterms:W3CDTF">2020-06-28T14:18:00Z</dcterms:modified>
</cp:coreProperties>
</file>