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62ECA" w14:textId="00AFF18A" w:rsidR="003C6959" w:rsidRPr="00B20974" w:rsidRDefault="003C6959" w:rsidP="00852F69">
      <w:pPr>
        <w:pStyle w:val="NormalWeb"/>
        <w:spacing w:before="0" w:beforeAutospacing="0" w:after="0" w:afterAutospacing="0"/>
        <w:jc w:val="center"/>
        <w:rPr>
          <w:rFonts w:asciiTheme="minorHAnsi" w:hAnsiTheme="minorHAnsi"/>
          <w:b/>
          <w:sz w:val="22"/>
          <w:szCs w:val="22"/>
        </w:rPr>
      </w:pPr>
      <w:r w:rsidRPr="00B20974">
        <w:rPr>
          <w:rFonts w:asciiTheme="minorHAnsi" w:hAnsiTheme="minorHAnsi"/>
          <w:b/>
          <w:sz w:val="22"/>
          <w:szCs w:val="22"/>
        </w:rPr>
        <w:t>Comments on CDC Draft Interim Policy Statement</w:t>
      </w:r>
      <w:r w:rsidR="00B34CA0" w:rsidRPr="00B20974">
        <w:rPr>
          <w:rFonts w:asciiTheme="minorHAnsi" w:hAnsiTheme="minorHAnsi"/>
          <w:b/>
          <w:sz w:val="22"/>
          <w:szCs w:val="22"/>
        </w:rPr>
        <w:t xml:space="preserve"> for Housing Development</w:t>
      </w:r>
      <w:r w:rsidR="00852F69" w:rsidRPr="00B20974">
        <w:rPr>
          <w:rFonts w:asciiTheme="minorHAnsi" w:hAnsiTheme="minorHAnsi"/>
          <w:b/>
          <w:sz w:val="22"/>
          <w:szCs w:val="22"/>
        </w:rPr>
        <w:t xml:space="preserve"> submitted by SOSCA</w:t>
      </w:r>
    </w:p>
    <w:p w14:paraId="5ACE9FAC" w14:textId="77777777" w:rsidR="00B34CA0" w:rsidRPr="00B20974" w:rsidRDefault="00B34CA0" w:rsidP="00B34CA0">
      <w:pPr>
        <w:pStyle w:val="NormalWeb"/>
        <w:spacing w:before="0" w:beforeAutospacing="0" w:after="0" w:afterAutospacing="0"/>
        <w:rPr>
          <w:rFonts w:asciiTheme="minorHAnsi" w:hAnsiTheme="minorHAnsi"/>
          <w:sz w:val="22"/>
          <w:szCs w:val="22"/>
        </w:rPr>
      </w:pPr>
    </w:p>
    <w:p w14:paraId="1EE9D1B1" w14:textId="77777777" w:rsidR="00242BB3" w:rsidRDefault="00242BB3" w:rsidP="00242BB3">
      <w:pPr>
        <w:pStyle w:val="PlainText"/>
        <w:rPr>
          <w:rFonts w:asciiTheme="minorHAnsi" w:hAnsiTheme="minorHAnsi"/>
          <w:szCs w:val="22"/>
        </w:rPr>
      </w:pPr>
      <w:r>
        <w:rPr>
          <w:rFonts w:asciiTheme="minorHAnsi" w:hAnsiTheme="minorHAnsi"/>
          <w:szCs w:val="22"/>
          <w:highlight w:val="yellow"/>
        </w:rPr>
        <w:t>1.3 The CLPKP will continue to form part of the statutory development plan until the LPR is adopted, however Planning Practice Guidance1 makes clear that where local plans have been adopted more than 5 years ago, the housing target against which the housing supply and delivery will be assessed should be derived from the Government’s standard methodology for assessing housing need. From the 15 July 2020 (five years from the date of adoption of the CLPKP), the Council’s housing supply and housing delivery will be assessed against the figure of 628 dwellings per annum, rather than the previously adopted housing target of 435 dwellings per annum. The housing supply position will be reviewed at that time, but there is a risk that the Council will not be able to continue to demonstrate a robust five-year supply of housing land as required in national policy, and the presumption in favour of sustainable development set out in the NPPF will apply. The position is different in parishes which have a made neighbourhood plan which allocates land for housing. In that case, the Council will need to be able to demonstrate a three-year supply of housing, but this only applies if the neighbourhood plan was made within the past two years.</w:t>
      </w:r>
      <w:r>
        <w:rPr>
          <w:rFonts w:asciiTheme="minorHAnsi" w:hAnsiTheme="minorHAnsi"/>
          <w:szCs w:val="22"/>
        </w:rPr>
        <w:t xml:space="preserve"> </w:t>
      </w:r>
    </w:p>
    <w:p w14:paraId="0B1E2E7F" w14:textId="77777777" w:rsidR="00242BB3" w:rsidRDefault="00242BB3" w:rsidP="00242BB3">
      <w:pPr>
        <w:pStyle w:val="PlainText"/>
        <w:rPr>
          <w:rFonts w:asciiTheme="minorHAnsi" w:hAnsiTheme="minorHAnsi"/>
          <w:szCs w:val="22"/>
        </w:rPr>
      </w:pPr>
      <w:r>
        <w:rPr>
          <w:rFonts w:asciiTheme="minorHAnsi" w:hAnsiTheme="minorHAnsi"/>
          <w:b/>
          <w:szCs w:val="22"/>
        </w:rPr>
        <w:t>Comment 1:</w:t>
      </w:r>
      <w:r>
        <w:rPr>
          <w:rFonts w:asciiTheme="minorHAnsi" w:hAnsiTheme="minorHAnsi"/>
          <w:szCs w:val="22"/>
        </w:rPr>
        <w:t xml:space="preserve">  </w:t>
      </w:r>
      <w:r>
        <w:rPr>
          <w:rFonts w:asciiTheme="minorHAnsi" w:hAnsiTheme="minorHAnsi"/>
          <w:szCs w:val="22"/>
          <w:highlight w:val="yellow"/>
        </w:rPr>
        <w:t>Note:   'Government's standard methodology for assessing housing need'</w:t>
      </w:r>
      <w:r>
        <w:rPr>
          <w:rFonts w:asciiTheme="minorHAnsi" w:hAnsiTheme="minorHAnsi"/>
          <w:szCs w:val="22"/>
        </w:rPr>
        <w:t xml:space="preserve">: this is a centralised method of assessment, which is neither based on an actual local assessment of need, nor on the amount of land available, nor the suitability of large-scale development in respect of harm to environment and wildlife it supports. The Government has required that CDC build 12500 housing units in the next phase of planning which ends 2035. </w:t>
      </w:r>
    </w:p>
    <w:p w14:paraId="1FEA84A6" w14:textId="77777777" w:rsidR="00242BB3" w:rsidRDefault="00242BB3" w:rsidP="00242BB3">
      <w:pPr>
        <w:pStyle w:val="PlainText"/>
        <w:rPr>
          <w:rFonts w:asciiTheme="minorHAnsi" w:hAnsiTheme="minorHAnsi"/>
          <w:szCs w:val="22"/>
        </w:rPr>
      </w:pPr>
      <w:r>
        <w:rPr>
          <w:rFonts w:asciiTheme="minorHAnsi" w:hAnsiTheme="minorHAnsi"/>
          <w:szCs w:val="22"/>
        </w:rPr>
        <w:t xml:space="preserve">Within the Chichester District area </w:t>
      </w:r>
      <w:r>
        <w:t xml:space="preserve">67.1% </w:t>
      </w:r>
      <w:r>
        <w:rPr>
          <w:rFonts w:asciiTheme="minorHAnsi" w:hAnsiTheme="minorHAnsi"/>
          <w:szCs w:val="22"/>
        </w:rPr>
        <w:t>of its land is occupied by the SDNP (South Downs National Park), and a further 3.5% is occupied by the CHAONB (Chichester Harbour Area of Outstanding Natural Beauty)</w:t>
      </w:r>
      <w:r>
        <w:rPr>
          <w:rStyle w:val="FootnoteReference"/>
          <w:rFonts w:asciiTheme="minorHAnsi" w:hAnsiTheme="minorHAnsi"/>
          <w:szCs w:val="22"/>
        </w:rPr>
        <w:footnoteReference w:id="1"/>
      </w:r>
      <w:r>
        <w:rPr>
          <w:rFonts w:asciiTheme="minorHAnsi" w:hAnsiTheme="minorHAnsi"/>
          <w:szCs w:val="22"/>
        </w:rPr>
        <w:t>.</w:t>
      </w:r>
    </w:p>
    <w:p w14:paraId="6DD3787E" w14:textId="77777777" w:rsidR="00242BB3" w:rsidRPr="00B20974" w:rsidRDefault="00242BB3" w:rsidP="00B34CA0">
      <w:pPr>
        <w:pStyle w:val="PlainText"/>
        <w:rPr>
          <w:rFonts w:asciiTheme="minorHAnsi" w:hAnsiTheme="minorHAnsi"/>
          <w:szCs w:val="22"/>
        </w:rPr>
      </w:pPr>
      <w:bookmarkStart w:id="0" w:name="_GoBack"/>
      <w:bookmarkEnd w:id="0"/>
    </w:p>
    <w:p w14:paraId="5BFA60F1" w14:textId="35FD0FBB" w:rsidR="00D558B3" w:rsidRPr="00B20974" w:rsidRDefault="005B6A7C" w:rsidP="00301B8D">
      <w:pPr>
        <w:spacing w:line="276" w:lineRule="auto"/>
        <w:rPr>
          <w:rFonts w:eastAsia="Calibri" w:cs="Times New Roman"/>
          <w:sz w:val="22"/>
          <w:szCs w:val="22"/>
        </w:rPr>
      </w:pPr>
      <w:r w:rsidRPr="005B6A7C">
        <w:rPr>
          <w:rFonts w:eastAsia="Calibri" w:cs="Times New Roman"/>
          <w:sz w:val="22"/>
          <w:szCs w:val="22"/>
        </w:rPr>
        <w:t>Although building does go on within these protected areas</w:t>
      </w:r>
      <w:r w:rsidRPr="00B20974">
        <w:rPr>
          <w:rFonts w:eastAsia="Calibri" w:cs="Times New Roman"/>
          <w:sz w:val="22"/>
          <w:szCs w:val="22"/>
        </w:rPr>
        <w:t xml:space="preserve"> </w:t>
      </w:r>
      <w:r w:rsidRPr="005B6A7C">
        <w:rPr>
          <w:rFonts w:eastAsia="Calibri" w:cs="Times New Roman"/>
          <w:sz w:val="22"/>
          <w:szCs w:val="22"/>
        </w:rPr>
        <w:t>both areas have been ruled out of providing any of the land required for building for the housing development contained in the CDC’s Local Plan. This leaves less than 25% of land available to accommodate these housing developments. But given that this remaining area already contains considerable existing development and infrastructure, it leaves very little land that is both available and suitable to accommodate these housing developments.</w:t>
      </w:r>
    </w:p>
    <w:p w14:paraId="2F65DE22" w14:textId="75CC70A4" w:rsidR="00D558B3" w:rsidRPr="00B20974" w:rsidRDefault="00D558B3" w:rsidP="00B34CA0">
      <w:pPr>
        <w:pStyle w:val="PlainText"/>
        <w:rPr>
          <w:rFonts w:asciiTheme="minorHAnsi" w:hAnsiTheme="minorHAnsi"/>
          <w:szCs w:val="22"/>
        </w:rPr>
      </w:pPr>
      <w:r w:rsidRPr="00B20974">
        <w:rPr>
          <w:rFonts w:asciiTheme="minorHAnsi" w:hAnsiTheme="minorHAnsi"/>
          <w:b/>
          <w:szCs w:val="22"/>
        </w:rPr>
        <w:t>Comment 2:</w:t>
      </w:r>
      <w:r w:rsidRPr="00B20974">
        <w:rPr>
          <w:rFonts w:asciiTheme="minorHAnsi" w:hAnsiTheme="minorHAnsi"/>
          <w:szCs w:val="22"/>
        </w:rPr>
        <w:t xml:space="preserve"> </w:t>
      </w:r>
      <w:r w:rsidR="009C731C" w:rsidRPr="00B20974">
        <w:rPr>
          <w:rFonts w:asciiTheme="minorHAnsi" w:hAnsiTheme="minorHAnsi"/>
          <w:szCs w:val="22"/>
        </w:rPr>
        <w:t>N</w:t>
      </w:r>
      <w:r w:rsidRPr="00B20974">
        <w:rPr>
          <w:rFonts w:asciiTheme="minorHAnsi" w:hAnsiTheme="minorHAnsi"/>
          <w:szCs w:val="22"/>
        </w:rPr>
        <w:t xml:space="preserve">eighbourhood </w:t>
      </w:r>
      <w:r w:rsidR="009C731C" w:rsidRPr="00B20974">
        <w:rPr>
          <w:rFonts w:asciiTheme="minorHAnsi" w:hAnsiTheme="minorHAnsi"/>
          <w:szCs w:val="22"/>
        </w:rPr>
        <w:t>P</w:t>
      </w:r>
      <w:r w:rsidRPr="00B20974">
        <w:rPr>
          <w:rFonts w:asciiTheme="minorHAnsi" w:hAnsiTheme="minorHAnsi"/>
          <w:szCs w:val="22"/>
        </w:rPr>
        <w:t>lans made five years ago should still be valid and not discounted as it has not been possible to update/redo NPs due to the</w:t>
      </w:r>
      <w:r w:rsidR="005A47F3" w:rsidRPr="00B20974">
        <w:rPr>
          <w:rFonts w:asciiTheme="minorHAnsi" w:hAnsiTheme="minorHAnsi"/>
          <w:szCs w:val="22"/>
        </w:rPr>
        <w:t xml:space="preserve"> uncertainties</w:t>
      </w:r>
      <w:r w:rsidR="009E7447" w:rsidRPr="00B20974">
        <w:rPr>
          <w:rFonts w:asciiTheme="minorHAnsi" w:hAnsiTheme="minorHAnsi"/>
          <w:szCs w:val="22"/>
        </w:rPr>
        <w:t xml:space="preserve"> of</w:t>
      </w:r>
      <w:r w:rsidRPr="00B20974">
        <w:rPr>
          <w:rFonts w:asciiTheme="minorHAnsi" w:hAnsiTheme="minorHAnsi"/>
          <w:szCs w:val="22"/>
        </w:rPr>
        <w:t xml:space="preserve"> the now suspended LPR.</w:t>
      </w:r>
      <w:r w:rsidR="009C731C" w:rsidRPr="00B20974">
        <w:rPr>
          <w:rFonts w:asciiTheme="minorHAnsi" w:hAnsiTheme="minorHAnsi"/>
          <w:szCs w:val="22"/>
        </w:rPr>
        <w:t xml:space="preserve"> </w:t>
      </w:r>
      <w:r w:rsidR="00892B1B" w:rsidRPr="00B20974">
        <w:rPr>
          <w:rFonts w:asciiTheme="minorHAnsi" w:hAnsiTheme="minorHAnsi"/>
          <w:szCs w:val="22"/>
        </w:rPr>
        <w:t>Moreover,</w:t>
      </w:r>
      <w:r w:rsidR="009C731C" w:rsidRPr="00B20974">
        <w:rPr>
          <w:rFonts w:asciiTheme="minorHAnsi" w:hAnsiTheme="minorHAnsi"/>
          <w:szCs w:val="22"/>
        </w:rPr>
        <w:t xml:space="preserve"> some developers have held back deliberately on consents given in the intervening period in the expectation of even bigger development sites</w:t>
      </w:r>
    </w:p>
    <w:p w14:paraId="72079D5C" w14:textId="70A4957F" w:rsidR="00D558B3" w:rsidRPr="00B20974" w:rsidRDefault="00D558B3" w:rsidP="00B34CA0">
      <w:pPr>
        <w:pStyle w:val="PlainText"/>
        <w:rPr>
          <w:rFonts w:asciiTheme="minorHAnsi" w:hAnsiTheme="minorHAnsi"/>
          <w:szCs w:val="22"/>
        </w:rPr>
      </w:pPr>
    </w:p>
    <w:p w14:paraId="33B0C2E1" w14:textId="5D53ECF6" w:rsidR="00D558B3" w:rsidRPr="00B20974" w:rsidRDefault="002E3217" w:rsidP="00B34CA0">
      <w:pPr>
        <w:pStyle w:val="PlainText"/>
        <w:rPr>
          <w:rFonts w:asciiTheme="minorHAnsi" w:hAnsiTheme="minorHAnsi"/>
          <w:b/>
          <w:szCs w:val="22"/>
        </w:rPr>
      </w:pPr>
      <w:r w:rsidRPr="00B20974">
        <w:rPr>
          <w:rFonts w:asciiTheme="minorHAnsi" w:hAnsiTheme="minorHAnsi"/>
          <w:b/>
          <w:szCs w:val="22"/>
        </w:rPr>
        <w:t>2. Approach to boosting housing supply</w:t>
      </w:r>
    </w:p>
    <w:p w14:paraId="0D6302D9" w14:textId="77777777" w:rsidR="00993AE9" w:rsidRPr="00B20974" w:rsidRDefault="00892B1B" w:rsidP="00993AE9">
      <w:pPr>
        <w:pStyle w:val="PlainText"/>
        <w:rPr>
          <w:rFonts w:asciiTheme="minorHAnsi" w:hAnsiTheme="minorHAnsi"/>
          <w:szCs w:val="22"/>
        </w:rPr>
      </w:pPr>
      <w:r w:rsidRPr="00B20974">
        <w:rPr>
          <w:rFonts w:asciiTheme="minorHAnsi" w:hAnsiTheme="minorHAnsi"/>
          <w:szCs w:val="22"/>
          <w:highlight w:val="yellow"/>
        </w:rPr>
        <w:t>2.3 This statement aims to provide interim guidance which will apply until the Council considers it has a five-year supply of housing in line with Government guidance. The intention is for the Council to be able to guide development to appropriate and sustainable locations using this document to assist in the consideration of planning applications. It will help to ensure that housing proposals that may be submitted in advance of the Local Plan Review are assessed in a consistent manner against national and local planning policies, with the aim of ensuring that the most appropriate development comes forward in the most suitable locations.</w:t>
      </w:r>
      <w:r w:rsidRPr="00B20974">
        <w:rPr>
          <w:rFonts w:asciiTheme="minorHAnsi" w:hAnsiTheme="minorHAnsi"/>
          <w:szCs w:val="22"/>
        </w:rPr>
        <w:t xml:space="preserve"> </w:t>
      </w:r>
    </w:p>
    <w:p w14:paraId="457E651D" w14:textId="7DEF2ED9" w:rsidR="00217C02" w:rsidRPr="00B20974" w:rsidRDefault="00892B1B" w:rsidP="00B34CA0">
      <w:pPr>
        <w:pStyle w:val="PlainText"/>
        <w:rPr>
          <w:rFonts w:asciiTheme="minorHAnsi" w:hAnsiTheme="minorHAnsi"/>
          <w:b/>
          <w:bCs/>
          <w:szCs w:val="22"/>
        </w:rPr>
      </w:pPr>
      <w:r w:rsidRPr="00B20974">
        <w:rPr>
          <w:rFonts w:asciiTheme="minorHAnsi" w:hAnsiTheme="minorHAnsi"/>
          <w:b/>
          <w:szCs w:val="22"/>
        </w:rPr>
        <w:lastRenderedPageBreak/>
        <w:t>Comment</w:t>
      </w:r>
      <w:r w:rsidRPr="00B20974">
        <w:rPr>
          <w:rFonts w:asciiTheme="minorHAnsi" w:hAnsiTheme="minorHAnsi"/>
          <w:szCs w:val="22"/>
        </w:rPr>
        <w:t xml:space="preserve"> 1: </w:t>
      </w:r>
      <w:r w:rsidR="00993AE9" w:rsidRPr="00B20974">
        <w:rPr>
          <w:rFonts w:asciiTheme="minorHAnsi" w:hAnsiTheme="minorHAnsi"/>
          <w:b/>
          <w:bCs/>
          <w:szCs w:val="22"/>
        </w:rPr>
        <w:t>Sustainable locations</w:t>
      </w:r>
      <w:r w:rsidR="00993AE9" w:rsidRPr="00B20974">
        <w:rPr>
          <w:rFonts w:asciiTheme="minorHAnsi" w:hAnsiTheme="minorHAnsi"/>
          <w:szCs w:val="22"/>
        </w:rPr>
        <w:t xml:space="preserve"> need to be defined as sustainable for the long-term. The Environment Agency advises local authorities to plan for flood and coastal risk up to 2065.</w:t>
      </w:r>
      <w:r w:rsidR="00993AE9" w:rsidRPr="00B20974">
        <w:rPr>
          <w:rStyle w:val="FootnoteReference"/>
          <w:rFonts w:asciiTheme="minorHAnsi" w:hAnsiTheme="minorHAnsi"/>
          <w:szCs w:val="22"/>
        </w:rPr>
        <w:footnoteReference w:id="2"/>
      </w:r>
      <w:r w:rsidR="00993AE9" w:rsidRPr="00B20974">
        <w:rPr>
          <w:rFonts w:asciiTheme="minorHAnsi" w:hAnsiTheme="minorHAnsi"/>
          <w:szCs w:val="22"/>
        </w:rPr>
        <w:t xml:space="preserve"> NPPF states that “</w:t>
      </w:r>
      <w:r w:rsidR="00993AE9" w:rsidRPr="00B20974">
        <w:rPr>
          <w:rFonts w:asciiTheme="minorHAnsi" w:eastAsia="Times New Roman" w:hAnsiTheme="minorHAnsi" w:cs="Arial"/>
          <w:szCs w:val="22"/>
          <w:shd w:val="clear" w:color="auto" w:fill="FFFFFF"/>
          <w:lang w:eastAsia="en-GB"/>
        </w:rPr>
        <w:t xml:space="preserve">inappropriate development in areas at risk of flooding should be avoided by directing development away from areas at highest risk (whether existing or future).” The coastal and harbour settlements in Chichester District will face significant flood risk by 2065. In October 2019, </w:t>
      </w:r>
      <w:r w:rsidR="00993AE9" w:rsidRPr="00B20974">
        <w:rPr>
          <w:rFonts w:asciiTheme="minorHAnsi" w:hAnsiTheme="minorHAnsi" w:cs="Arial"/>
          <w:szCs w:val="22"/>
        </w:rPr>
        <w:t>the House of Commons Environment Food and Rural Affairs Committee urged local authorities to take a more proactive approach to planning in coastal areas and avoid inappropriate development in areas at risk from future flooding or erosion.</w:t>
      </w:r>
      <w:r w:rsidR="00993AE9" w:rsidRPr="00B20974">
        <w:rPr>
          <w:rStyle w:val="FootnoteReference"/>
          <w:rFonts w:asciiTheme="minorHAnsi" w:hAnsiTheme="minorHAnsi" w:cs="Arial"/>
          <w:szCs w:val="22"/>
        </w:rPr>
        <w:footnoteReference w:id="3"/>
      </w:r>
      <w:r w:rsidR="00993AE9" w:rsidRPr="00B20974">
        <w:rPr>
          <w:rFonts w:asciiTheme="minorHAnsi" w:hAnsiTheme="minorHAnsi" w:cs="Arial"/>
          <w:szCs w:val="22"/>
        </w:rPr>
        <w:t xml:space="preserve"> </w:t>
      </w:r>
    </w:p>
    <w:p w14:paraId="3B961E0B" w14:textId="061E267D" w:rsidR="00891DC3" w:rsidRPr="00B20974" w:rsidRDefault="00217C02" w:rsidP="00B34CA0">
      <w:pPr>
        <w:pStyle w:val="PlainText"/>
        <w:rPr>
          <w:rFonts w:asciiTheme="minorHAnsi" w:hAnsiTheme="minorHAnsi"/>
          <w:szCs w:val="22"/>
        </w:rPr>
      </w:pPr>
      <w:r w:rsidRPr="00B20974">
        <w:rPr>
          <w:rFonts w:asciiTheme="minorHAnsi" w:hAnsiTheme="minorHAnsi"/>
          <w:b/>
          <w:szCs w:val="22"/>
        </w:rPr>
        <w:t>Comment</w:t>
      </w:r>
      <w:r w:rsidR="00892B1B" w:rsidRPr="00B20974">
        <w:rPr>
          <w:rFonts w:asciiTheme="minorHAnsi" w:hAnsiTheme="minorHAnsi"/>
          <w:b/>
          <w:szCs w:val="22"/>
        </w:rPr>
        <w:t xml:space="preserve"> 2</w:t>
      </w:r>
      <w:r w:rsidRPr="00B20974">
        <w:rPr>
          <w:rFonts w:asciiTheme="minorHAnsi" w:hAnsiTheme="minorHAnsi"/>
          <w:szCs w:val="22"/>
        </w:rPr>
        <w:t xml:space="preserve">: these terms 'appropriate and sustainable' are open to a wide variety of meaning unless they are defined.  </w:t>
      </w:r>
      <w:r w:rsidR="00892B1B" w:rsidRPr="00B20974">
        <w:rPr>
          <w:rFonts w:asciiTheme="minorHAnsi" w:hAnsiTheme="minorHAnsi"/>
          <w:szCs w:val="22"/>
        </w:rPr>
        <w:t xml:space="preserve">For example, </w:t>
      </w:r>
      <w:r w:rsidR="00891DC3" w:rsidRPr="00B20974">
        <w:rPr>
          <w:rFonts w:asciiTheme="minorHAnsi" w:hAnsiTheme="minorHAnsi"/>
          <w:szCs w:val="22"/>
        </w:rPr>
        <w:t xml:space="preserve">Bosham, </w:t>
      </w:r>
      <w:r w:rsidR="004412DA" w:rsidRPr="00B20974">
        <w:rPr>
          <w:rFonts w:asciiTheme="minorHAnsi" w:hAnsiTheme="minorHAnsi"/>
          <w:szCs w:val="22"/>
        </w:rPr>
        <w:t>along</w:t>
      </w:r>
      <w:r w:rsidR="00891DC3" w:rsidRPr="00B20974">
        <w:rPr>
          <w:rFonts w:asciiTheme="minorHAnsi" w:hAnsiTheme="minorHAnsi"/>
          <w:szCs w:val="22"/>
        </w:rPr>
        <w:t xml:space="preserve"> with a num</w:t>
      </w:r>
      <w:r w:rsidR="004412DA" w:rsidRPr="00B20974">
        <w:rPr>
          <w:rFonts w:asciiTheme="minorHAnsi" w:hAnsiTheme="minorHAnsi"/>
          <w:szCs w:val="22"/>
        </w:rPr>
        <w:t>b</w:t>
      </w:r>
      <w:r w:rsidR="00891DC3" w:rsidRPr="00B20974">
        <w:rPr>
          <w:rFonts w:asciiTheme="minorHAnsi" w:hAnsiTheme="minorHAnsi"/>
          <w:szCs w:val="22"/>
        </w:rPr>
        <w:t>er of parishe</w:t>
      </w:r>
      <w:r w:rsidR="004412DA" w:rsidRPr="00B20974">
        <w:rPr>
          <w:rFonts w:asciiTheme="minorHAnsi" w:hAnsiTheme="minorHAnsi"/>
          <w:szCs w:val="22"/>
        </w:rPr>
        <w:t>s</w:t>
      </w:r>
      <w:r w:rsidR="00891DC3" w:rsidRPr="00B20974">
        <w:rPr>
          <w:rFonts w:asciiTheme="minorHAnsi" w:hAnsiTheme="minorHAnsi"/>
          <w:szCs w:val="22"/>
        </w:rPr>
        <w:t xml:space="preserve"> in the east/</w:t>
      </w:r>
      <w:r w:rsidR="004412DA" w:rsidRPr="00B20974">
        <w:rPr>
          <w:rFonts w:asciiTheme="minorHAnsi" w:hAnsiTheme="minorHAnsi"/>
          <w:szCs w:val="22"/>
        </w:rPr>
        <w:t>w</w:t>
      </w:r>
      <w:r w:rsidR="00891DC3" w:rsidRPr="00B20974">
        <w:rPr>
          <w:rFonts w:asciiTheme="minorHAnsi" w:hAnsiTheme="minorHAnsi"/>
          <w:szCs w:val="22"/>
        </w:rPr>
        <w:t>e</w:t>
      </w:r>
      <w:r w:rsidR="004412DA" w:rsidRPr="00B20974">
        <w:rPr>
          <w:rFonts w:asciiTheme="minorHAnsi" w:hAnsiTheme="minorHAnsi"/>
          <w:szCs w:val="22"/>
        </w:rPr>
        <w:t>s</w:t>
      </w:r>
      <w:r w:rsidR="00891DC3" w:rsidRPr="00B20974">
        <w:rPr>
          <w:rFonts w:asciiTheme="minorHAnsi" w:hAnsiTheme="minorHAnsi"/>
          <w:szCs w:val="22"/>
        </w:rPr>
        <w:t>t corridor have large amounts of land below the 7m contour. In the case of Bosham it is estimated that</w:t>
      </w:r>
      <w:r w:rsidR="00E87119" w:rsidRPr="00B20974">
        <w:rPr>
          <w:rFonts w:asciiTheme="minorHAnsi" w:hAnsiTheme="minorHAnsi"/>
          <w:szCs w:val="22"/>
        </w:rPr>
        <w:t xml:space="preserve"> only</w:t>
      </w:r>
      <w:r w:rsidR="00891DC3" w:rsidRPr="00B20974">
        <w:rPr>
          <w:rFonts w:asciiTheme="minorHAnsi" w:hAnsiTheme="minorHAnsi"/>
          <w:szCs w:val="22"/>
        </w:rPr>
        <w:t xml:space="preserve"> </w:t>
      </w:r>
      <w:r w:rsidR="00345E67" w:rsidRPr="00B20974">
        <w:rPr>
          <w:rFonts w:asciiTheme="minorHAnsi" w:hAnsiTheme="minorHAnsi"/>
          <w:szCs w:val="22"/>
        </w:rPr>
        <w:t>17%</w:t>
      </w:r>
      <w:r w:rsidR="00E87119" w:rsidRPr="00B20974">
        <w:rPr>
          <w:rFonts w:asciiTheme="minorHAnsi" w:hAnsiTheme="minorHAnsi"/>
          <w:szCs w:val="22"/>
        </w:rPr>
        <w:t xml:space="preserve"> of the land area of the parish,</w:t>
      </w:r>
      <w:r w:rsidR="00891DC3" w:rsidRPr="00B20974">
        <w:rPr>
          <w:rFonts w:asciiTheme="minorHAnsi" w:hAnsiTheme="minorHAnsi"/>
          <w:szCs w:val="22"/>
        </w:rPr>
        <w:t xml:space="preserve"> is ‘safe’ from </w:t>
      </w:r>
      <w:r w:rsidR="004412DA" w:rsidRPr="00B20974">
        <w:rPr>
          <w:rFonts w:asciiTheme="minorHAnsi" w:hAnsiTheme="minorHAnsi"/>
          <w:szCs w:val="22"/>
        </w:rPr>
        <w:t>adverse</w:t>
      </w:r>
      <w:r w:rsidR="00891DC3" w:rsidRPr="00B20974">
        <w:rPr>
          <w:rFonts w:asciiTheme="minorHAnsi" w:hAnsiTheme="minorHAnsi"/>
          <w:szCs w:val="22"/>
        </w:rPr>
        <w:t xml:space="preserve"> effects of </w:t>
      </w:r>
      <w:r w:rsidR="004412DA" w:rsidRPr="00B20974">
        <w:rPr>
          <w:rFonts w:asciiTheme="minorHAnsi" w:hAnsiTheme="minorHAnsi"/>
          <w:szCs w:val="22"/>
        </w:rPr>
        <w:t>coastal</w:t>
      </w:r>
      <w:r w:rsidR="00891DC3" w:rsidRPr="00B20974">
        <w:rPr>
          <w:rFonts w:asciiTheme="minorHAnsi" w:hAnsiTheme="minorHAnsi"/>
          <w:szCs w:val="22"/>
        </w:rPr>
        <w:t xml:space="preserve"> flooding up to 2065</w:t>
      </w:r>
      <w:r w:rsidR="00E87119" w:rsidRPr="00B20974">
        <w:rPr>
          <w:rFonts w:asciiTheme="minorHAnsi" w:hAnsiTheme="minorHAnsi"/>
          <w:szCs w:val="22"/>
        </w:rPr>
        <w:t xml:space="preserve"> with 83% of its area below 7m</w:t>
      </w:r>
      <w:r w:rsidR="00891DC3" w:rsidRPr="00B20974">
        <w:rPr>
          <w:rFonts w:asciiTheme="minorHAnsi" w:hAnsiTheme="minorHAnsi"/>
          <w:szCs w:val="22"/>
        </w:rPr>
        <w:t xml:space="preserve">. </w:t>
      </w:r>
      <w:r w:rsidR="00E87119" w:rsidRPr="00B20974">
        <w:rPr>
          <w:rFonts w:asciiTheme="minorHAnsi" w:hAnsiTheme="minorHAnsi"/>
          <w:szCs w:val="22"/>
        </w:rPr>
        <w:t>Moreover</w:t>
      </w:r>
      <w:r w:rsidR="00891DC3" w:rsidRPr="00B20974">
        <w:rPr>
          <w:rFonts w:asciiTheme="minorHAnsi" w:hAnsiTheme="minorHAnsi"/>
          <w:szCs w:val="22"/>
        </w:rPr>
        <w:t xml:space="preserve">, consequent on </w:t>
      </w:r>
      <w:r w:rsidR="004412DA" w:rsidRPr="00B20974">
        <w:rPr>
          <w:rFonts w:asciiTheme="minorHAnsi" w:hAnsiTheme="minorHAnsi"/>
          <w:szCs w:val="22"/>
        </w:rPr>
        <w:t>increased</w:t>
      </w:r>
      <w:r w:rsidR="00891DC3" w:rsidRPr="00B20974">
        <w:rPr>
          <w:rFonts w:asciiTheme="minorHAnsi" w:hAnsiTheme="minorHAnsi"/>
          <w:szCs w:val="22"/>
        </w:rPr>
        <w:t xml:space="preserve"> flood risk, building down to that 7m contour allows nothing for coastal squeeze</w:t>
      </w:r>
      <w:r w:rsidR="004412DA" w:rsidRPr="00B20974">
        <w:rPr>
          <w:rFonts w:asciiTheme="minorHAnsi" w:hAnsiTheme="minorHAnsi"/>
          <w:szCs w:val="22"/>
        </w:rPr>
        <w:t xml:space="preserve"> as sea levels inevitably rise</w:t>
      </w:r>
      <w:r w:rsidR="00EF3117" w:rsidRPr="00B20974">
        <w:rPr>
          <w:rFonts w:asciiTheme="minorHAnsi" w:hAnsiTheme="minorHAnsi"/>
          <w:szCs w:val="22"/>
        </w:rPr>
        <w:t>.</w:t>
      </w:r>
      <w:r w:rsidR="00892B1B" w:rsidRPr="00B20974">
        <w:rPr>
          <w:rStyle w:val="FootnoteReference"/>
          <w:rFonts w:asciiTheme="minorHAnsi" w:hAnsiTheme="minorHAnsi"/>
          <w:szCs w:val="22"/>
        </w:rPr>
        <w:footnoteReference w:id="4"/>
      </w:r>
    </w:p>
    <w:p w14:paraId="5D52AAA2" w14:textId="47690229" w:rsidR="00B20974" w:rsidRPr="00B20974" w:rsidRDefault="00040F0C" w:rsidP="00B34CA0">
      <w:pPr>
        <w:pStyle w:val="PlainText"/>
        <w:rPr>
          <w:rFonts w:asciiTheme="minorHAnsi" w:hAnsiTheme="minorHAnsi"/>
          <w:szCs w:val="22"/>
          <w:highlight w:val="cyan"/>
        </w:rPr>
      </w:pPr>
      <w:r w:rsidRPr="00B20974">
        <w:rPr>
          <w:rFonts w:asciiTheme="minorHAnsi" w:hAnsiTheme="minorHAnsi"/>
          <w:szCs w:val="22"/>
        </w:rPr>
        <w:t xml:space="preserve">SUSTAINABLE </w:t>
      </w:r>
      <w:r w:rsidR="004412DA" w:rsidRPr="00B20974">
        <w:rPr>
          <w:rFonts w:asciiTheme="minorHAnsi" w:hAnsiTheme="minorHAnsi"/>
          <w:szCs w:val="22"/>
        </w:rPr>
        <w:t xml:space="preserve">LOCATIONS </w:t>
      </w:r>
      <w:r w:rsidRPr="00B20974">
        <w:rPr>
          <w:rFonts w:asciiTheme="minorHAnsi" w:hAnsiTheme="minorHAnsi"/>
          <w:szCs w:val="22"/>
        </w:rPr>
        <w:t>should</w:t>
      </w:r>
      <w:r w:rsidR="00217C02" w:rsidRPr="00B20974">
        <w:rPr>
          <w:rFonts w:asciiTheme="minorHAnsi" w:hAnsiTheme="minorHAnsi"/>
          <w:szCs w:val="22"/>
        </w:rPr>
        <w:t xml:space="preserve"> mean that they are able to provide LONG </w:t>
      </w:r>
      <w:r w:rsidR="004412DA" w:rsidRPr="00B20974">
        <w:rPr>
          <w:rFonts w:asciiTheme="minorHAnsi" w:hAnsiTheme="minorHAnsi"/>
          <w:szCs w:val="22"/>
        </w:rPr>
        <w:t>TERM housing</w:t>
      </w:r>
      <w:r w:rsidR="00217C02" w:rsidRPr="00B20974">
        <w:rPr>
          <w:rFonts w:asciiTheme="minorHAnsi" w:hAnsiTheme="minorHAnsi"/>
          <w:szCs w:val="22"/>
        </w:rPr>
        <w:t>. To be sustainable only up to 2035 is not long term.</w:t>
      </w:r>
      <w:r w:rsidR="009E7447" w:rsidRPr="00B20974">
        <w:rPr>
          <w:rFonts w:asciiTheme="minorHAnsi" w:hAnsiTheme="minorHAnsi"/>
          <w:szCs w:val="22"/>
        </w:rPr>
        <w:t xml:space="preserve"> </w:t>
      </w:r>
      <w:r w:rsidR="00217C02" w:rsidRPr="00B20974">
        <w:rPr>
          <w:rFonts w:asciiTheme="minorHAnsi" w:hAnsiTheme="minorHAnsi"/>
          <w:szCs w:val="22"/>
        </w:rPr>
        <w:t>The Environment Agency advises Councils to plan for floods and coastal risk up to 2065. The NPPF states that development in areas of risk is INAPPROPRIATE and should be avoided.</w:t>
      </w:r>
    </w:p>
    <w:p w14:paraId="370828E8" w14:textId="77777777" w:rsidR="00217C02" w:rsidRPr="00B20974" w:rsidRDefault="00217C02" w:rsidP="00B34CA0">
      <w:pPr>
        <w:pStyle w:val="PlainText"/>
        <w:rPr>
          <w:rFonts w:asciiTheme="minorHAnsi" w:hAnsiTheme="minorHAnsi"/>
          <w:szCs w:val="22"/>
        </w:rPr>
      </w:pPr>
    </w:p>
    <w:p w14:paraId="1C268E73" w14:textId="75DCDE4A" w:rsidR="00217C02" w:rsidRPr="00B20974" w:rsidRDefault="00217C02" w:rsidP="00B34CA0">
      <w:pPr>
        <w:pStyle w:val="PlainText"/>
        <w:rPr>
          <w:rFonts w:asciiTheme="minorHAnsi" w:hAnsiTheme="minorHAnsi"/>
          <w:szCs w:val="22"/>
        </w:rPr>
      </w:pPr>
      <w:r w:rsidRPr="00B20974">
        <w:rPr>
          <w:rFonts w:asciiTheme="minorHAnsi" w:hAnsiTheme="minorHAnsi"/>
          <w:szCs w:val="22"/>
          <w:highlight w:val="yellow"/>
        </w:rPr>
        <w:t>2.4....'prioritising progress on delivery of known sites including West of Chichester</w:t>
      </w:r>
      <w:proofErr w:type="gramStart"/>
      <w:r w:rsidRPr="00B20974">
        <w:rPr>
          <w:rFonts w:asciiTheme="minorHAnsi" w:hAnsiTheme="minorHAnsi"/>
          <w:szCs w:val="22"/>
          <w:highlight w:val="yellow"/>
        </w:rPr>
        <w:t>..'</w:t>
      </w:r>
      <w:proofErr w:type="gramEnd"/>
    </w:p>
    <w:p w14:paraId="6C40A11D" w14:textId="22146DE6" w:rsidR="00217C02" w:rsidRPr="00B20974" w:rsidRDefault="00217C02" w:rsidP="00B34CA0">
      <w:pPr>
        <w:pStyle w:val="PlainText"/>
        <w:rPr>
          <w:rFonts w:asciiTheme="minorHAnsi" w:hAnsiTheme="minorHAnsi"/>
          <w:szCs w:val="22"/>
        </w:rPr>
      </w:pPr>
      <w:r w:rsidRPr="00B20974">
        <w:rPr>
          <w:rFonts w:asciiTheme="minorHAnsi" w:hAnsiTheme="minorHAnsi"/>
          <w:b/>
          <w:szCs w:val="22"/>
        </w:rPr>
        <w:t>Comment</w:t>
      </w:r>
      <w:r w:rsidR="002E3217" w:rsidRPr="00B20974">
        <w:rPr>
          <w:rFonts w:asciiTheme="minorHAnsi" w:hAnsiTheme="minorHAnsi"/>
          <w:b/>
          <w:szCs w:val="22"/>
        </w:rPr>
        <w:t xml:space="preserve"> </w:t>
      </w:r>
      <w:r w:rsidRPr="00B20974">
        <w:rPr>
          <w:rFonts w:asciiTheme="minorHAnsi" w:hAnsiTheme="minorHAnsi"/>
          <w:b/>
          <w:szCs w:val="22"/>
        </w:rPr>
        <w:t>1</w:t>
      </w:r>
      <w:r w:rsidR="002E3217" w:rsidRPr="00B20974">
        <w:rPr>
          <w:rFonts w:asciiTheme="minorHAnsi" w:hAnsiTheme="minorHAnsi"/>
          <w:szCs w:val="22"/>
        </w:rPr>
        <w:t xml:space="preserve">: </w:t>
      </w:r>
      <w:r w:rsidRPr="00B20974">
        <w:rPr>
          <w:rFonts w:asciiTheme="minorHAnsi" w:hAnsiTheme="minorHAnsi"/>
          <w:szCs w:val="22"/>
        </w:rPr>
        <w:t>this implies that a 'known site' is an 'approved' site. The site in Bosham (AL7) still needs to be approved.</w:t>
      </w:r>
    </w:p>
    <w:p w14:paraId="0671D990" w14:textId="239E17A8" w:rsidR="00217C02" w:rsidRPr="00B20974" w:rsidRDefault="00217C02" w:rsidP="00B34CA0">
      <w:pPr>
        <w:pStyle w:val="PlainText"/>
        <w:rPr>
          <w:rFonts w:asciiTheme="minorHAnsi" w:hAnsiTheme="minorHAnsi"/>
          <w:szCs w:val="22"/>
        </w:rPr>
      </w:pPr>
      <w:r w:rsidRPr="00B20974">
        <w:rPr>
          <w:rFonts w:asciiTheme="minorHAnsi" w:hAnsiTheme="minorHAnsi"/>
          <w:b/>
          <w:szCs w:val="22"/>
        </w:rPr>
        <w:t>Comment 2</w:t>
      </w:r>
      <w:r w:rsidRPr="00B20974">
        <w:rPr>
          <w:rFonts w:asciiTheme="minorHAnsi" w:hAnsiTheme="minorHAnsi"/>
          <w:szCs w:val="22"/>
        </w:rPr>
        <w:t>: will the numbers of houses developed under this 'speeded</w:t>
      </w:r>
      <w:r w:rsidR="00597FBB" w:rsidRPr="00B20974">
        <w:rPr>
          <w:rFonts w:asciiTheme="minorHAnsi" w:hAnsiTheme="minorHAnsi"/>
          <w:szCs w:val="22"/>
        </w:rPr>
        <w:t>-</w:t>
      </w:r>
      <w:r w:rsidRPr="00B20974">
        <w:rPr>
          <w:rFonts w:asciiTheme="minorHAnsi" w:hAnsiTheme="minorHAnsi"/>
          <w:szCs w:val="22"/>
        </w:rPr>
        <w:t xml:space="preserve">up' process be included in the number subsequently required in the LPR when it is approved? </w:t>
      </w:r>
    </w:p>
    <w:p w14:paraId="58B41EE3" w14:textId="542398AB" w:rsidR="00217C02" w:rsidRPr="00B20974" w:rsidRDefault="00217C02" w:rsidP="00B34CA0">
      <w:pPr>
        <w:pStyle w:val="PlainText"/>
        <w:rPr>
          <w:rFonts w:asciiTheme="minorHAnsi" w:hAnsiTheme="minorHAnsi"/>
          <w:szCs w:val="22"/>
        </w:rPr>
      </w:pPr>
    </w:p>
    <w:p w14:paraId="74A4C849" w14:textId="54942C10" w:rsidR="002E3217" w:rsidRPr="00B20974" w:rsidRDefault="002E3217" w:rsidP="00B34CA0">
      <w:pPr>
        <w:pStyle w:val="PlainText"/>
        <w:rPr>
          <w:rFonts w:asciiTheme="minorHAnsi" w:hAnsiTheme="minorHAnsi"/>
          <w:b/>
          <w:szCs w:val="22"/>
        </w:rPr>
      </w:pPr>
      <w:r w:rsidRPr="00B20974">
        <w:rPr>
          <w:rFonts w:asciiTheme="minorHAnsi" w:hAnsiTheme="minorHAnsi"/>
          <w:b/>
          <w:szCs w:val="22"/>
        </w:rPr>
        <w:t>3. Planning Policy Context</w:t>
      </w:r>
    </w:p>
    <w:p w14:paraId="6EF8BE72" w14:textId="5C426C3F" w:rsidR="00597FBB" w:rsidRPr="00B20974" w:rsidRDefault="00597FBB" w:rsidP="00B34CA0">
      <w:pPr>
        <w:pStyle w:val="PlainText"/>
        <w:rPr>
          <w:rFonts w:asciiTheme="minorHAnsi" w:hAnsiTheme="minorHAnsi"/>
          <w:szCs w:val="22"/>
        </w:rPr>
      </w:pPr>
      <w:r w:rsidRPr="00B20974">
        <w:rPr>
          <w:rFonts w:asciiTheme="minorHAnsi" w:hAnsiTheme="minorHAnsi"/>
          <w:szCs w:val="22"/>
          <w:highlight w:val="yellow"/>
        </w:rPr>
        <w:t>3.1 The National Planning Policy Framework (NPPF) (February 2019) is a material consideration in planning decisions. At the heart of the NPPF is a presumption in favour of sustainable development. For decision-taking (paragraph 11) this means:  (there follows a list of criteria including:</w:t>
      </w:r>
    </w:p>
    <w:p w14:paraId="1111BF70" w14:textId="1AD465F3" w:rsidR="00217C02" w:rsidRPr="00B20974" w:rsidRDefault="00217C02" w:rsidP="00B34CA0">
      <w:pPr>
        <w:pStyle w:val="PlainText"/>
        <w:rPr>
          <w:rFonts w:asciiTheme="minorHAnsi" w:hAnsiTheme="minorHAnsi"/>
          <w:szCs w:val="22"/>
        </w:rPr>
      </w:pPr>
      <w:r w:rsidRPr="00B20974">
        <w:rPr>
          <w:rFonts w:asciiTheme="minorHAnsi" w:hAnsiTheme="minorHAnsi"/>
          <w:szCs w:val="22"/>
          <w:highlight w:val="yellow"/>
        </w:rPr>
        <w:t xml:space="preserve">'NPPF policies that protect areas or assets of particular importance provides a clear reason for </w:t>
      </w:r>
      <w:r w:rsidR="00BD2FBD" w:rsidRPr="00B20974">
        <w:rPr>
          <w:rFonts w:asciiTheme="minorHAnsi" w:hAnsiTheme="minorHAnsi"/>
          <w:szCs w:val="22"/>
          <w:highlight w:val="yellow"/>
        </w:rPr>
        <w:t>refusing development</w:t>
      </w:r>
      <w:r w:rsidRPr="00B20974">
        <w:rPr>
          <w:rFonts w:asciiTheme="minorHAnsi" w:hAnsiTheme="minorHAnsi"/>
          <w:szCs w:val="22"/>
          <w:highlight w:val="yellow"/>
        </w:rPr>
        <w:t>'....</w:t>
      </w:r>
    </w:p>
    <w:p w14:paraId="273A6444" w14:textId="77777777" w:rsidR="00597FBB" w:rsidRPr="00B20974" w:rsidRDefault="00217C02" w:rsidP="00B34CA0">
      <w:pPr>
        <w:pStyle w:val="PlainText"/>
        <w:rPr>
          <w:rFonts w:asciiTheme="minorHAnsi" w:hAnsiTheme="minorHAnsi"/>
          <w:szCs w:val="22"/>
        </w:rPr>
      </w:pPr>
      <w:r w:rsidRPr="00B20974">
        <w:rPr>
          <w:rFonts w:asciiTheme="minorHAnsi" w:hAnsiTheme="minorHAnsi"/>
          <w:szCs w:val="22"/>
        </w:rPr>
        <w:t>..........and</w:t>
      </w:r>
    </w:p>
    <w:p w14:paraId="57066139" w14:textId="4A9A945C" w:rsidR="00217C02" w:rsidRPr="00B20974" w:rsidRDefault="00217C02" w:rsidP="00B34CA0">
      <w:pPr>
        <w:pStyle w:val="PlainText"/>
        <w:rPr>
          <w:rFonts w:asciiTheme="minorHAnsi" w:hAnsiTheme="minorHAnsi"/>
          <w:szCs w:val="22"/>
        </w:rPr>
      </w:pPr>
      <w:r w:rsidRPr="00B20974">
        <w:rPr>
          <w:rFonts w:asciiTheme="minorHAnsi" w:hAnsiTheme="minorHAnsi"/>
          <w:szCs w:val="22"/>
          <w:highlight w:val="yellow"/>
        </w:rPr>
        <w:t>' any adverse impacts of doing so would demonstrably outweigh the benefits...'</w:t>
      </w:r>
      <w:r w:rsidRPr="00B20974">
        <w:rPr>
          <w:rFonts w:asciiTheme="minorHAnsi" w:hAnsiTheme="minorHAnsi"/>
          <w:szCs w:val="22"/>
        </w:rPr>
        <w:t xml:space="preserve"> </w:t>
      </w:r>
    </w:p>
    <w:p w14:paraId="07BA4566" w14:textId="18162A07" w:rsidR="00217C02" w:rsidRPr="00B20974" w:rsidRDefault="00217C02" w:rsidP="00B34CA0">
      <w:pPr>
        <w:pStyle w:val="PlainText"/>
        <w:rPr>
          <w:rFonts w:asciiTheme="minorHAnsi" w:hAnsiTheme="minorHAnsi"/>
          <w:szCs w:val="22"/>
        </w:rPr>
      </w:pPr>
      <w:r w:rsidRPr="00B20974">
        <w:rPr>
          <w:rFonts w:asciiTheme="minorHAnsi" w:hAnsiTheme="minorHAnsi"/>
          <w:b/>
          <w:szCs w:val="22"/>
        </w:rPr>
        <w:t>Comment 1</w:t>
      </w:r>
      <w:r w:rsidRPr="00B20974">
        <w:rPr>
          <w:rFonts w:asciiTheme="minorHAnsi" w:hAnsiTheme="minorHAnsi"/>
          <w:szCs w:val="22"/>
        </w:rPr>
        <w:t xml:space="preserve">: Chichester Harbour is designated an SSSI status, is a RAMSAR site and recognised as having internationally important wetlands. It is designated as a Special Protection </w:t>
      </w:r>
      <w:r w:rsidR="00BD2FBD" w:rsidRPr="00B20974">
        <w:rPr>
          <w:rFonts w:asciiTheme="minorHAnsi" w:hAnsiTheme="minorHAnsi"/>
          <w:szCs w:val="22"/>
        </w:rPr>
        <w:t>Area which</w:t>
      </w:r>
      <w:r w:rsidRPr="00B20974">
        <w:rPr>
          <w:rFonts w:asciiTheme="minorHAnsi" w:hAnsiTheme="minorHAnsi"/>
          <w:szCs w:val="22"/>
        </w:rPr>
        <w:t xml:space="preserve"> carries with it a 'zone of influence' of 5.4km. Failure to do so would contravene the CDC's own Key Policy 50, and contravene the Conservation of Habitats and Species Regulations 2017. This Special Protection Area clearly extends beyond the harbour itself to the surrounding area and to its setting alongside the SDNP.</w:t>
      </w:r>
    </w:p>
    <w:p w14:paraId="1004FC4D" w14:textId="766BBF56" w:rsidR="00217C02" w:rsidRPr="00B20974" w:rsidRDefault="00217C02" w:rsidP="00B34CA0">
      <w:pPr>
        <w:pStyle w:val="PlainText"/>
        <w:rPr>
          <w:rFonts w:asciiTheme="minorHAnsi" w:hAnsiTheme="minorHAnsi"/>
          <w:szCs w:val="22"/>
        </w:rPr>
      </w:pPr>
      <w:r w:rsidRPr="00B20974">
        <w:rPr>
          <w:rFonts w:asciiTheme="minorHAnsi" w:hAnsiTheme="minorHAnsi"/>
          <w:b/>
          <w:szCs w:val="22"/>
        </w:rPr>
        <w:t>Comment 2</w:t>
      </w:r>
      <w:r w:rsidRPr="00B20974">
        <w:rPr>
          <w:rFonts w:asciiTheme="minorHAnsi" w:hAnsiTheme="minorHAnsi"/>
          <w:szCs w:val="22"/>
        </w:rPr>
        <w:t>: Historically the ancient woodlands of the National Nature Reserve</w:t>
      </w:r>
      <w:r w:rsidR="00BD2FBD" w:rsidRPr="00B20974">
        <w:rPr>
          <w:rFonts w:asciiTheme="minorHAnsi" w:hAnsiTheme="minorHAnsi"/>
          <w:szCs w:val="22"/>
        </w:rPr>
        <w:t xml:space="preserve"> </w:t>
      </w:r>
      <w:r w:rsidRPr="00B20974">
        <w:rPr>
          <w:rFonts w:asciiTheme="minorHAnsi" w:hAnsiTheme="minorHAnsi"/>
          <w:szCs w:val="22"/>
        </w:rPr>
        <w:t>(</w:t>
      </w:r>
      <w:proofErr w:type="spellStart"/>
      <w:r w:rsidRPr="00B20974">
        <w:rPr>
          <w:rFonts w:asciiTheme="minorHAnsi" w:hAnsiTheme="minorHAnsi"/>
          <w:szCs w:val="22"/>
        </w:rPr>
        <w:t>Kingley</w:t>
      </w:r>
      <w:proofErr w:type="spellEnd"/>
      <w:r w:rsidRPr="00B20974">
        <w:rPr>
          <w:rFonts w:asciiTheme="minorHAnsi" w:hAnsiTheme="minorHAnsi"/>
          <w:szCs w:val="22"/>
        </w:rPr>
        <w:t xml:space="preserve"> Vale) and the SDNP were linked to </w:t>
      </w:r>
      <w:r w:rsidR="00BD2FBD" w:rsidRPr="00B20974">
        <w:rPr>
          <w:rFonts w:asciiTheme="minorHAnsi" w:hAnsiTheme="minorHAnsi"/>
          <w:szCs w:val="22"/>
        </w:rPr>
        <w:t>the flood</w:t>
      </w:r>
      <w:r w:rsidRPr="00B20974">
        <w:rPr>
          <w:rFonts w:asciiTheme="minorHAnsi" w:hAnsiTheme="minorHAnsi"/>
          <w:szCs w:val="22"/>
        </w:rPr>
        <w:t xml:space="preserve"> plains and beaches of Chichester Harbour.  </w:t>
      </w:r>
      <w:r w:rsidR="00BD2FBD" w:rsidRPr="00B20974">
        <w:rPr>
          <w:rFonts w:asciiTheme="minorHAnsi" w:hAnsiTheme="minorHAnsi"/>
          <w:szCs w:val="22"/>
        </w:rPr>
        <w:t>The habitat</w:t>
      </w:r>
      <w:r w:rsidRPr="00B20974">
        <w:rPr>
          <w:rFonts w:asciiTheme="minorHAnsi" w:hAnsiTheme="minorHAnsi"/>
          <w:szCs w:val="22"/>
        </w:rPr>
        <w:t xml:space="preserve"> </w:t>
      </w:r>
      <w:r w:rsidRPr="00B20974">
        <w:rPr>
          <w:rFonts w:asciiTheme="minorHAnsi" w:hAnsiTheme="minorHAnsi"/>
          <w:szCs w:val="22"/>
        </w:rPr>
        <w:lastRenderedPageBreak/>
        <w:t>fragmentation between them is an ecological threat to wildlife. Mammals, such as foxes, badgers, deer, hedgehogs already have to navigate two major barriers - the A27 and the South Coast Mainline. The A259 is already becoming a further threat with present levels of increased traffic.</w:t>
      </w:r>
      <w:r w:rsidR="00BD2FBD" w:rsidRPr="00B20974">
        <w:rPr>
          <w:rFonts w:asciiTheme="minorHAnsi" w:hAnsiTheme="minorHAnsi"/>
          <w:szCs w:val="22"/>
        </w:rPr>
        <w:t xml:space="preserve"> </w:t>
      </w:r>
      <w:r w:rsidRPr="00B20974">
        <w:rPr>
          <w:rFonts w:asciiTheme="minorHAnsi" w:hAnsiTheme="minorHAnsi"/>
          <w:szCs w:val="22"/>
        </w:rPr>
        <w:t xml:space="preserve">Other creatures, birds, insects, fish </w:t>
      </w:r>
      <w:r w:rsidR="005E3695" w:rsidRPr="00B20974">
        <w:rPr>
          <w:rFonts w:asciiTheme="minorHAnsi" w:hAnsiTheme="minorHAnsi"/>
          <w:szCs w:val="22"/>
        </w:rPr>
        <w:t>and reptiles (</w:t>
      </w:r>
      <w:proofErr w:type="spellStart"/>
      <w:r w:rsidR="005E3695" w:rsidRPr="00B20974">
        <w:rPr>
          <w:rFonts w:asciiTheme="minorHAnsi" w:hAnsiTheme="minorHAnsi"/>
          <w:szCs w:val="22"/>
        </w:rPr>
        <w:t>e.g</w:t>
      </w:r>
      <w:proofErr w:type="spellEnd"/>
      <w:r w:rsidR="005E3695" w:rsidRPr="00B20974">
        <w:rPr>
          <w:rFonts w:asciiTheme="minorHAnsi" w:hAnsiTheme="minorHAnsi"/>
          <w:szCs w:val="22"/>
        </w:rPr>
        <w:t xml:space="preserve"> Grass snakes) </w:t>
      </w:r>
      <w:r w:rsidRPr="00B20974">
        <w:rPr>
          <w:rFonts w:asciiTheme="minorHAnsi" w:hAnsiTheme="minorHAnsi"/>
          <w:szCs w:val="22"/>
        </w:rPr>
        <w:t xml:space="preserve">rely on the </w:t>
      </w:r>
      <w:r w:rsidR="006669CC" w:rsidRPr="00B20974">
        <w:rPr>
          <w:rFonts w:asciiTheme="minorHAnsi" w:hAnsiTheme="minorHAnsi"/>
          <w:szCs w:val="22"/>
        </w:rPr>
        <w:t xml:space="preserve">hedgerows </w:t>
      </w:r>
      <w:r w:rsidR="005E3695" w:rsidRPr="00B20974">
        <w:rPr>
          <w:rFonts w:asciiTheme="minorHAnsi" w:hAnsiTheme="minorHAnsi"/>
          <w:szCs w:val="22"/>
        </w:rPr>
        <w:t>or</w:t>
      </w:r>
      <w:r w:rsidRPr="00B20974">
        <w:rPr>
          <w:rFonts w:asciiTheme="minorHAnsi" w:hAnsiTheme="minorHAnsi"/>
          <w:szCs w:val="22"/>
        </w:rPr>
        <w:t xml:space="preserve"> the </w:t>
      </w:r>
      <w:r w:rsidR="006669CC" w:rsidRPr="00B20974">
        <w:rPr>
          <w:rFonts w:asciiTheme="minorHAnsi" w:hAnsiTheme="minorHAnsi"/>
          <w:szCs w:val="22"/>
        </w:rPr>
        <w:t xml:space="preserve">chalk streams </w:t>
      </w:r>
      <w:r w:rsidRPr="00B20974">
        <w:rPr>
          <w:rFonts w:asciiTheme="minorHAnsi" w:hAnsiTheme="minorHAnsi"/>
          <w:szCs w:val="22"/>
        </w:rPr>
        <w:t>for connectivity. Much of the area along the A259 west of Chidham is already compromised. Between Hambrook and Fish</w:t>
      </w:r>
      <w:r w:rsidR="00BD2FBD" w:rsidRPr="00B20974">
        <w:rPr>
          <w:rFonts w:asciiTheme="minorHAnsi" w:hAnsiTheme="minorHAnsi"/>
          <w:szCs w:val="22"/>
        </w:rPr>
        <w:t>b</w:t>
      </w:r>
      <w:r w:rsidRPr="00B20974">
        <w:rPr>
          <w:rFonts w:asciiTheme="minorHAnsi" w:hAnsiTheme="minorHAnsi"/>
          <w:szCs w:val="22"/>
        </w:rPr>
        <w:t>our</w:t>
      </w:r>
      <w:r w:rsidR="00BD2FBD" w:rsidRPr="00B20974">
        <w:rPr>
          <w:rFonts w:asciiTheme="minorHAnsi" w:hAnsiTheme="minorHAnsi"/>
          <w:szCs w:val="22"/>
        </w:rPr>
        <w:t>n</w:t>
      </w:r>
      <w:r w:rsidRPr="00B20974">
        <w:rPr>
          <w:rFonts w:asciiTheme="minorHAnsi" w:hAnsiTheme="minorHAnsi"/>
          <w:szCs w:val="22"/>
        </w:rPr>
        <w:t xml:space="preserve">e there </w:t>
      </w:r>
      <w:r w:rsidR="004D4764" w:rsidRPr="00B20974">
        <w:rPr>
          <w:rFonts w:asciiTheme="minorHAnsi" w:hAnsiTheme="minorHAnsi"/>
          <w:szCs w:val="22"/>
        </w:rPr>
        <w:t>are</w:t>
      </w:r>
      <w:r w:rsidRPr="00B20974">
        <w:rPr>
          <w:rFonts w:asciiTheme="minorHAnsi" w:hAnsiTheme="minorHAnsi"/>
          <w:szCs w:val="22"/>
        </w:rPr>
        <w:t xml:space="preserve"> opportunit</w:t>
      </w:r>
      <w:r w:rsidR="002E3217" w:rsidRPr="00B20974">
        <w:rPr>
          <w:rFonts w:asciiTheme="minorHAnsi" w:hAnsiTheme="minorHAnsi"/>
          <w:szCs w:val="22"/>
        </w:rPr>
        <w:t>ies</w:t>
      </w:r>
      <w:r w:rsidRPr="00B20974">
        <w:rPr>
          <w:rFonts w:asciiTheme="minorHAnsi" w:hAnsiTheme="minorHAnsi"/>
          <w:szCs w:val="22"/>
        </w:rPr>
        <w:t xml:space="preserve"> to maintain</w:t>
      </w:r>
      <w:r w:rsidR="00BD2FBD" w:rsidRPr="00B20974">
        <w:rPr>
          <w:rFonts w:asciiTheme="minorHAnsi" w:hAnsiTheme="minorHAnsi"/>
          <w:szCs w:val="22"/>
        </w:rPr>
        <w:t xml:space="preserve"> </w:t>
      </w:r>
      <w:r w:rsidRPr="00B20974">
        <w:rPr>
          <w:rFonts w:asciiTheme="minorHAnsi" w:hAnsiTheme="minorHAnsi"/>
          <w:szCs w:val="22"/>
        </w:rPr>
        <w:t>wildlife connectivity. To continue to build and develop here with cause irreparable harm to biodiversity.</w:t>
      </w:r>
    </w:p>
    <w:p w14:paraId="04A6538E" w14:textId="6959A543" w:rsidR="00040DAE" w:rsidRPr="00B20974" w:rsidRDefault="006669CC" w:rsidP="00B34CA0">
      <w:pPr>
        <w:rPr>
          <w:rFonts w:eastAsia="Times New Roman" w:cs="Arial"/>
          <w:sz w:val="22"/>
          <w:szCs w:val="22"/>
          <w:shd w:val="clear" w:color="auto" w:fill="FFFFFF"/>
          <w:lang w:eastAsia="en-GB"/>
        </w:rPr>
      </w:pPr>
      <w:r w:rsidRPr="00B20974">
        <w:rPr>
          <w:rFonts w:eastAsia="Times New Roman" w:cs="Arial"/>
          <w:b/>
          <w:sz w:val="22"/>
          <w:szCs w:val="22"/>
          <w:shd w:val="clear" w:color="auto" w:fill="FFFFFF"/>
          <w:lang w:eastAsia="en-GB"/>
        </w:rPr>
        <w:t>Comment 3</w:t>
      </w:r>
      <w:r w:rsidR="00040DAE" w:rsidRPr="00B20974">
        <w:rPr>
          <w:rFonts w:eastAsia="Times New Roman" w:cs="Arial"/>
          <w:sz w:val="22"/>
          <w:szCs w:val="22"/>
          <w:shd w:val="clear" w:color="auto" w:fill="FFFFFF"/>
          <w:lang w:eastAsia="en-GB"/>
        </w:rPr>
        <w:t xml:space="preserve">: The reduction of future climate mitigation flexibility both on the site and in the wider area will be regarded as an </w:t>
      </w:r>
      <w:r w:rsidR="00040DAE" w:rsidRPr="00B20974">
        <w:rPr>
          <w:rFonts w:eastAsia="Times New Roman" w:cs="Arial"/>
          <w:b/>
          <w:bCs/>
          <w:sz w:val="22"/>
          <w:szCs w:val="22"/>
          <w:shd w:val="clear" w:color="auto" w:fill="FFFFFF"/>
          <w:lang w:eastAsia="en-GB"/>
        </w:rPr>
        <w:t>adverse impact</w:t>
      </w:r>
      <w:r w:rsidR="00040DAE" w:rsidRPr="00B20974">
        <w:rPr>
          <w:rFonts w:eastAsia="Times New Roman" w:cs="Arial"/>
          <w:sz w:val="22"/>
          <w:szCs w:val="22"/>
          <w:shd w:val="clear" w:color="auto" w:fill="FFFFFF"/>
          <w:lang w:eastAsia="en-GB"/>
        </w:rPr>
        <w:t xml:space="preserve"> of development.  No new development should be permitted on sites which could be inundated due to rising sea levels within the next 100 years – such sites are no longer considered sustainable by most scientists. </w:t>
      </w:r>
      <w:r w:rsidR="00040DAE" w:rsidRPr="00B20974">
        <w:rPr>
          <w:rFonts w:cs="Arial"/>
          <w:sz w:val="22"/>
          <w:szCs w:val="22"/>
        </w:rPr>
        <w:t>Chichester District Council should use high climate change allowances (++) to evaluate housing developments which will face much higher risk in the future.</w:t>
      </w:r>
    </w:p>
    <w:p w14:paraId="15EE9981" w14:textId="7D839CBC" w:rsidR="007923FB" w:rsidRPr="00B20974" w:rsidRDefault="007923FB" w:rsidP="00B34CA0">
      <w:pPr>
        <w:rPr>
          <w:rFonts w:eastAsia="Times New Roman" w:cs="Arial"/>
          <w:sz w:val="22"/>
          <w:szCs w:val="22"/>
          <w:shd w:val="clear" w:color="auto" w:fill="FFFFFF"/>
          <w:lang w:eastAsia="en-GB"/>
        </w:rPr>
      </w:pPr>
    </w:p>
    <w:p w14:paraId="1127B0DB" w14:textId="77777777" w:rsidR="006F55CC" w:rsidRPr="00B20974" w:rsidRDefault="008159BD" w:rsidP="00B34CA0">
      <w:pPr>
        <w:rPr>
          <w:sz w:val="22"/>
          <w:szCs w:val="22"/>
        </w:rPr>
      </w:pPr>
      <w:r w:rsidRPr="00B20974">
        <w:rPr>
          <w:sz w:val="22"/>
          <w:szCs w:val="22"/>
          <w:highlight w:val="yellow"/>
        </w:rPr>
        <w:t>3.2 Consideration should be given to footnotes 6 and 7 of the NPPF, as well as other relevant paragraphs of the NPPF.</w:t>
      </w:r>
    </w:p>
    <w:p w14:paraId="0C06016D" w14:textId="7DBC59A7" w:rsidR="00040DAE" w:rsidRPr="00B20974" w:rsidRDefault="00EC764C" w:rsidP="00040DAE">
      <w:pPr>
        <w:rPr>
          <w:rFonts w:eastAsia="Times New Roman" w:cs="Arial"/>
          <w:b/>
          <w:bCs/>
          <w:sz w:val="22"/>
          <w:szCs w:val="22"/>
          <w:shd w:val="clear" w:color="auto" w:fill="FFFFFF"/>
          <w:lang w:eastAsia="en-GB"/>
        </w:rPr>
      </w:pPr>
      <w:r w:rsidRPr="00B20974">
        <w:rPr>
          <w:rFonts w:eastAsia="Times New Roman" w:cs="Arial"/>
          <w:b/>
          <w:sz w:val="22"/>
          <w:szCs w:val="22"/>
          <w:shd w:val="clear" w:color="auto" w:fill="FFFFFF"/>
          <w:lang w:eastAsia="en-GB"/>
        </w:rPr>
        <w:t>Comment 1</w:t>
      </w:r>
      <w:r w:rsidRPr="00B20974">
        <w:rPr>
          <w:rFonts w:eastAsia="Times New Roman" w:cs="Arial"/>
          <w:sz w:val="22"/>
          <w:szCs w:val="22"/>
          <w:shd w:val="clear" w:color="auto" w:fill="FFFFFF"/>
          <w:lang w:eastAsia="en-GB"/>
        </w:rPr>
        <w:t xml:space="preserve">: </w:t>
      </w:r>
      <w:r w:rsidR="00040DAE" w:rsidRPr="00B20974">
        <w:rPr>
          <w:rFonts w:eastAsia="Times New Roman" w:cs="Arial"/>
          <w:b/>
          <w:bCs/>
          <w:sz w:val="22"/>
          <w:szCs w:val="22"/>
          <w:shd w:val="clear" w:color="auto" w:fill="FFFFFF"/>
          <w:lang w:eastAsia="en-GB"/>
        </w:rPr>
        <w:t>Section 6 and 7 of the NPPF</w:t>
      </w:r>
      <w:r w:rsidR="00040DAE" w:rsidRPr="00B20974">
        <w:rPr>
          <w:rFonts w:eastAsia="Times New Roman" w:cs="Arial"/>
          <w:sz w:val="22"/>
          <w:szCs w:val="22"/>
          <w:shd w:val="clear" w:color="auto" w:fill="FFFFFF"/>
          <w:lang w:eastAsia="en-GB"/>
        </w:rPr>
        <w:t xml:space="preserve"> specifically mentions Sites of Special Scientific Interest; irreplaceable habitats, and areas at risk of flooding or coastal change. Due to the known vulnerability of the Chichester coastline to sea level rise, sites close to the harbour or within one mile of the open coast should be precluded from development until an updated Strategic Flood Risk Assessment of the Chichester District has been undertaken factoring in predicted sea level rise over the next 100 years. The area’s existing wetlands are of national and international importance both because of their biodiversity and their high capacity to absorb CO2. Sea level rise will result in coastal squeeze and loss of irreplaceable wetland, development near to the coast or adjacent to coastal settlements will exacerbate coastal squeeze and hinder migration of species and settlements.</w:t>
      </w:r>
      <w:r w:rsidR="00040DAE" w:rsidRPr="00B20974">
        <w:rPr>
          <w:rStyle w:val="FootnoteReference"/>
          <w:rFonts w:eastAsia="Times New Roman" w:cs="Arial"/>
          <w:sz w:val="22"/>
          <w:szCs w:val="22"/>
          <w:shd w:val="clear" w:color="auto" w:fill="FFFFFF"/>
          <w:lang w:eastAsia="en-GB"/>
        </w:rPr>
        <w:footnoteReference w:id="5"/>
      </w:r>
      <w:r w:rsidR="00040DAE" w:rsidRPr="00B20974">
        <w:rPr>
          <w:rFonts w:eastAsia="Times New Roman" w:cs="Arial"/>
          <w:sz w:val="22"/>
          <w:szCs w:val="22"/>
          <w:shd w:val="clear" w:color="auto" w:fill="FFFFFF"/>
          <w:lang w:eastAsia="en-GB"/>
        </w:rPr>
        <w:t xml:space="preserve">   </w:t>
      </w:r>
    </w:p>
    <w:p w14:paraId="353B0F21" w14:textId="061C97A9" w:rsidR="007923FB" w:rsidRPr="00B20974" w:rsidRDefault="007923FB" w:rsidP="00B34CA0">
      <w:pPr>
        <w:rPr>
          <w:rFonts w:eastAsia="Times New Roman" w:cs="Arial"/>
          <w:sz w:val="22"/>
          <w:szCs w:val="22"/>
          <w:shd w:val="clear" w:color="auto" w:fill="FFFFFF"/>
          <w:lang w:eastAsia="en-GB"/>
        </w:rPr>
      </w:pPr>
    </w:p>
    <w:p w14:paraId="11F2DD4E" w14:textId="45FFC096" w:rsidR="00863C7B" w:rsidRPr="00B20974" w:rsidRDefault="00863C7B" w:rsidP="00B34CA0">
      <w:pPr>
        <w:rPr>
          <w:b/>
          <w:bCs/>
          <w:sz w:val="22"/>
          <w:szCs w:val="22"/>
        </w:rPr>
      </w:pPr>
      <w:r w:rsidRPr="00B20974">
        <w:rPr>
          <w:b/>
          <w:bCs/>
          <w:sz w:val="22"/>
          <w:szCs w:val="22"/>
        </w:rPr>
        <w:t>4 Local Context</w:t>
      </w:r>
    </w:p>
    <w:p w14:paraId="0A573144" w14:textId="7066CCAA" w:rsidR="00863C7B" w:rsidRPr="00B20974" w:rsidRDefault="00B43AA6" w:rsidP="00863C7B">
      <w:pPr>
        <w:pStyle w:val="Default"/>
        <w:rPr>
          <w:rFonts w:asciiTheme="minorHAnsi" w:hAnsiTheme="minorHAnsi"/>
          <w:i/>
          <w:iCs/>
          <w:color w:val="auto"/>
          <w:sz w:val="22"/>
          <w:szCs w:val="22"/>
        </w:rPr>
      </w:pPr>
      <w:r w:rsidRPr="00B20974">
        <w:rPr>
          <w:rFonts w:asciiTheme="minorHAnsi" w:hAnsiTheme="minorHAnsi"/>
          <w:i/>
          <w:iCs/>
          <w:color w:val="auto"/>
          <w:sz w:val="22"/>
          <w:szCs w:val="22"/>
        </w:rPr>
        <w:t xml:space="preserve">Deliverable </w:t>
      </w:r>
    </w:p>
    <w:p w14:paraId="7E94F4A0" w14:textId="19F358B7" w:rsidR="00EC764C" w:rsidRPr="00B20974" w:rsidRDefault="00EC764C" w:rsidP="00863C7B">
      <w:pPr>
        <w:pStyle w:val="Default"/>
        <w:rPr>
          <w:rFonts w:asciiTheme="minorHAnsi" w:hAnsiTheme="minorHAnsi"/>
          <w:color w:val="auto"/>
          <w:sz w:val="22"/>
          <w:szCs w:val="22"/>
        </w:rPr>
      </w:pPr>
      <w:r w:rsidRPr="00B20974">
        <w:rPr>
          <w:rFonts w:asciiTheme="minorHAnsi" w:hAnsiTheme="minorHAnsi"/>
          <w:color w:val="auto"/>
          <w:sz w:val="22"/>
          <w:szCs w:val="22"/>
          <w:highlight w:val="yellow"/>
        </w:rPr>
        <w:t>4.2 Given that the Council is concerned about the potential shortfall in housing supply, sites put forward under this approach should be “deliverable” at the time that the site is put forward for planning permission. They should not be, for example, dependent upon delivery of significant off-site infrastructure; and should be fully in the applicant’s control</w:t>
      </w:r>
    </w:p>
    <w:p w14:paraId="6018D532" w14:textId="07AA6DBC" w:rsidR="00ED74E4" w:rsidRPr="00B20974" w:rsidRDefault="00EC764C" w:rsidP="00ED74E4">
      <w:pPr>
        <w:pStyle w:val="NormalWeb"/>
        <w:spacing w:before="0" w:beforeAutospacing="0" w:after="0" w:afterAutospacing="0"/>
        <w:rPr>
          <w:rFonts w:asciiTheme="minorHAnsi" w:hAnsiTheme="minorHAnsi" w:cs="Arial"/>
          <w:sz w:val="22"/>
          <w:szCs w:val="22"/>
        </w:rPr>
      </w:pPr>
      <w:r w:rsidRPr="00B20974">
        <w:rPr>
          <w:rFonts w:asciiTheme="minorHAnsi" w:hAnsiTheme="minorHAnsi"/>
          <w:b/>
          <w:sz w:val="22"/>
          <w:szCs w:val="22"/>
        </w:rPr>
        <w:t>Comment</w:t>
      </w:r>
      <w:r w:rsidR="0026115E" w:rsidRPr="00B20974">
        <w:rPr>
          <w:rFonts w:asciiTheme="minorHAnsi" w:hAnsiTheme="minorHAnsi"/>
          <w:b/>
          <w:sz w:val="22"/>
          <w:szCs w:val="22"/>
        </w:rPr>
        <w:t xml:space="preserve"> 1</w:t>
      </w:r>
      <w:r w:rsidR="0026115E" w:rsidRPr="00B20974">
        <w:rPr>
          <w:rFonts w:asciiTheme="minorHAnsi" w:hAnsiTheme="minorHAnsi"/>
          <w:sz w:val="22"/>
          <w:szCs w:val="22"/>
        </w:rPr>
        <w:t>:</w:t>
      </w:r>
      <w:r w:rsidR="00ED74E4" w:rsidRPr="00B20974">
        <w:rPr>
          <w:rFonts w:asciiTheme="minorHAnsi" w:hAnsiTheme="minorHAnsi" w:cs="Arial"/>
          <w:sz w:val="22"/>
          <w:szCs w:val="22"/>
        </w:rPr>
        <w:t xml:space="preserve"> Off-sets for nutrient emissions from new developments should not be dealt with by remote re-balancing. Any off-sets must be within the catchments defined by Natural England for the Solent (March 2020)</w:t>
      </w:r>
      <w:r w:rsidR="0026115E" w:rsidRPr="00B20974">
        <w:rPr>
          <w:rFonts w:asciiTheme="minorHAnsi" w:hAnsiTheme="minorHAnsi" w:cs="Arial"/>
          <w:sz w:val="22"/>
          <w:szCs w:val="22"/>
        </w:rPr>
        <w:t>.</w:t>
      </w:r>
      <w:r w:rsidR="00ED74E4" w:rsidRPr="00B20974">
        <w:rPr>
          <w:rFonts w:asciiTheme="minorHAnsi" w:hAnsiTheme="minorHAnsi" w:cs="Arial"/>
          <w:sz w:val="22"/>
          <w:szCs w:val="22"/>
        </w:rPr>
        <w:t xml:space="preserve"> Assessments of nitrate budgets for new developments must be independently performed by qualified parties.</w:t>
      </w:r>
    </w:p>
    <w:p w14:paraId="304084B0" w14:textId="77777777" w:rsidR="00B43AA6" w:rsidRPr="00B20974" w:rsidRDefault="00B43AA6" w:rsidP="00ED74E4">
      <w:pPr>
        <w:pStyle w:val="NormalWeb"/>
        <w:spacing w:before="0" w:beforeAutospacing="0" w:after="0" w:afterAutospacing="0"/>
        <w:rPr>
          <w:rFonts w:asciiTheme="minorHAnsi" w:hAnsiTheme="minorHAnsi" w:cs="Arial"/>
          <w:sz w:val="22"/>
          <w:szCs w:val="22"/>
        </w:rPr>
      </w:pPr>
    </w:p>
    <w:p w14:paraId="3B3A2DEA" w14:textId="32C69763" w:rsidR="00EC764C" w:rsidRPr="00B20974" w:rsidRDefault="00B43AA6" w:rsidP="00863C7B">
      <w:pPr>
        <w:pStyle w:val="Default"/>
        <w:rPr>
          <w:rFonts w:asciiTheme="minorHAnsi" w:hAnsiTheme="minorHAnsi"/>
          <w:color w:val="auto"/>
          <w:sz w:val="22"/>
          <w:szCs w:val="22"/>
        </w:rPr>
      </w:pPr>
      <w:r w:rsidRPr="00B20974">
        <w:rPr>
          <w:rFonts w:asciiTheme="minorHAnsi" w:hAnsiTheme="minorHAnsi"/>
          <w:i/>
          <w:iCs/>
          <w:color w:val="auto"/>
          <w:sz w:val="22"/>
          <w:szCs w:val="22"/>
        </w:rPr>
        <w:t>Locational Sustainability</w:t>
      </w:r>
    </w:p>
    <w:p w14:paraId="7A753E4B" w14:textId="5E146F27" w:rsidR="00863C7B" w:rsidRPr="00B20974" w:rsidRDefault="00863C7B" w:rsidP="00863C7B">
      <w:pPr>
        <w:rPr>
          <w:sz w:val="22"/>
          <w:szCs w:val="22"/>
        </w:rPr>
      </w:pPr>
      <w:r w:rsidRPr="00B20974">
        <w:rPr>
          <w:sz w:val="22"/>
          <w:szCs w:val="22"/>
          <w:highlight w:val="yellow"/>
        </w:rPr>
        <w:t>4.5 Sites should be sustainably located in relation to existing settlements, with access to the facilities and services that are generally likely to be required by new residents. Policy 2 of the CLPKP, and emerging policy S2 of the LPR, sets out the settlement hierarchy which will inform consideration of any proposed site.</w:t>
      </w:r>
    </w:p>
    <w:p w14:paraId="562EEAEE" w14:textId="074E5685" w:rsidR="007273EE" w:rsidRPr="00B20974" w:rsidRDefault="00EC764C" w:rsidP="007273EE">
      <w:pPr>
        <w:rPr>
          <w:rFonts w:eastAsia="Times New Roman" w:cs="Arial"/>
          <w:sz w:val="22"/>
          <w:szCs w:val="22"/>
          <w:shd w:val="clear" w:color="auto" w:fill="FFFFFF"/>
          <w:lang w:eastAsia="en-GB"/>
        </w:rPr>
      </w:pPr>
      <w:r w:rsidRPr="00B20974">
        <w:rPr>
          <w:rFonts w:eastAsia="Times New Roman" w:cs="Arial"/>
          <w:b/>
          <w:sz w:val="22"/>
          <w:szCs w:val="22"/>
          <w:shd w:val="clear" w:color="auto" w:fill="FFFFFF"/>
          <w:lang w:eastAsia="en-GB"/>
        </w:rPr>
        <w:t xml:space="preserve">Comment </w:t>
      </w:r>
      <w:r w:rsidR="00301B8D" w:rsidRPr="00B20974">
        <w:rPr>
          <w:rFonts w:eastAsia="Times New Roman" w:cs="Arial"/>
          <w:b/>
          <w:sz w:val="22"/>
          <w:szCs w:val="22"/>
          <w:shd w:val="clear" w:color="auto" w:fill="FFFFFF"/>
          <w:lang w:eastAsia="en-GB"/>
        </w:rPr>
        <w:t>1</w:t>
      </w:r>
      <w:r w:rsidR="00301B8D" w:rsidRPr="00B20974">
        <w:rPr>
          <w:rFonts w:eastAsia="Times New Roman" w:cs="Arial"/>
          <w:sz w:val="22"/>
          <w:szCs w:val="22"/>
          <w:shd w:val="clear" w:color="auto" w:fill="FFFFFF"/>
          <w:lang w:eastAsia="en-GB"/>
        </w:rPr>
        <w:t>:</w:t>
      </w:r>
      <w:r w:rsidR="00301B8D" w:rsidRPr="00B20974">
        <w:rPr>
          <w:rFonts w:eastAsia="Times New Roman" w:cs="Arial"/>
          <w:b/>
          <w:bCs/>
          <w:sz w:val="22"/>
          <w:szCs w:val="22"/>
          <w:shd w:val="clear" w:color="auto" w:fill="FFFFFF"/>
          <w:lang w:eastAsia="en-GB"/>
        </w:rPr>
        <w:t xml:space="preserve"> Settlement</w:t>
      </w:r>
      <w:r w:rsidR="007273EE" w:rsidRPr="00B20974">
        <w:rPr>
          <w:rFonts w:eastAsia="Times New Roman" w:cs="Arial"/>
          <w:b/>
          <w:bCs/>
          <w:sz w:val="22"/>
          <w:szCs w:val="22"/>
          <w:shd w:val="clear" w:color="auto" w:fill="FFFFFF"/>
          <w:lang w:eastAsia="en-GB"/>
        </w:rPr>
        <w:t xml:space="preserve"> hierarchy</w:t>
      </w:r>
      <w:r w:rsidR="007273EE" w:rsidRPr="00B20974">
        <w:rPr>
          <w:rFonts w:eastAsia="Times New Roman" w:cs="Arial"/>
          <w:sz w:val="22"/>
          <w:szCs w:val="22"/>
          <w:shd w:val="clear" w:color="auto" w:fill="FFFFFF"/>
          <w:lang w:eastAsia="en-GB"/>
        </w:rPr>
        <w:t xml:space="preserve"> needs to be adjusted to reflect the fact that Chichester’s coastal and harbour communities will face materially increased, possibly catastrophic, flood risk by 2065. CDC may need to consider relocation of some communities in the future so should significantly restrict any expansion of coastal and harbour communities. </w:t>
      </w:r>
    </w:p>
    <w:p w14:paraId="32E7C14D" w14:textId="7FEF7CC3" w:rsidR="007923FB" w:rsidRPr="00B20974" w:rsidRDefault="007923FB" w:rsidP="00B34CA0">
      <w:pPr>
        <w:rPr>
          <w:rFonts w:eastAsia="Times New Roman" w:cs="Arial"/>
          <w:sz w:val="22"/>
          <w:szCs w:val="22"/>
          <w:shd w:val="clear" w:color="auto" w:fill="FFFFFF"/>
          <w:lang w:eastAsia="en-GB"/>
        </w:rPr>
      </w:pPr>
    </w:p>
    <w:p w14:paraId="1F345605" w14:textId="450682CD" w:rsidR="00B43AA6" w:rsidRPr="00B20974" w:rsidRDefault="00B43AA6" w:rsidP="00B34CA0">
      <w:pPr>
        <w:rPr>
          <w:sz w:val="22"/>
          <w:szCs w:val="22"/>
        </w:rPr>
      </w:pPr>
      <w:r w:rsidRPr="00B20974">
        <w:rPr>
          <w:sz w:val="22"/>
          <w:szCs w:val="22"/>
          <w:highlight w:val="yellow"/>
        </w:rPr>
        <w:lastRenderedPageBreak/>
        <w:t>4.6 Sites should be of a scale and density appropriate to the adjoining settlement. Smaller scale sites, that provide for the gradual growth of settlements, are more likely to be suitable than sites that would significantly change the character of a place. Developments adjoining smaller settlements will be expected to be smaller in scale than those that might be suitable for the extension of Chichester or the Settlement Hubs, with their larger sizes and range of facilities. The Council may support higher density development in settlements with greater facilities and accessibility.</w:t>
      </w:r>
    </w:p>
    <w:p w14:paraId="21924438" w14:textId="432B0861" w:rsidR="007923FB" w:rsidRPr="00B20974" w:rsidRDefault="00B43AA6" w:rsidP="00B34CA0">
      <w:pPr>
        <w:rPr>
          <w:rFonts w:eastAsia="Times New Roman" w:cs="Arial"/>
          <w:sz w:val="22"/>
          <w:szCs w:val="22"/>
          <w:shd w:val="clear" w:color="auto" w:fill="FFFFFF"/>
          <w:lang w:eastAsia="en-GB"/>
        </w:rPr>
      </w:pPr>
      <w:r w:rsidRPr="00B20974">
        <w:rPr>
          <w:rFonts w:eastAsia="Times New Roman" w:cs="Arial"/>
          <w:b/>
          <w:sz w:val="22"/>
          <w:szCs w:val="22"/>
          <w:shd w:val="clear" w:color="auto" w:fill="FFFFFF"/>
          <w:lang w:eastAsia="en-GB"/>
        </w:rPr>
        <w:t>Comment 1</w:t>
      </w:r>
      <w:r w:rsidRPr="00B20974">
        <w:rPr>
          <w:rFonts w:eastAsia="Times New Roman" w:cs="Arial"/>
          <w:sz w:val="22"/>
          <w:szCs w:val="22"/>
          <w:shd w:val="clear" w:color="auto" w:fill="FFFFFF"/>
          <w:lang w:eastAsia="en-GB"/>
        </w:rPr>
        <w:t>:</w:t>
      </w:r>
      <w:r w:rsidR="00333F6A" w:rsidRPr="00B20974">
        <w:rPr>
          <w:rFonts w:eastAsia="Times New Roman" w:cs="Arial"/>
          <w:sz w:val="22"/>
          <w:szCs w:val="22"/>
          <w:shd w:val="clear" w:color="auto" w:fill="FFFFFF"/>
          <w:lang w:eastAsia="en-GB"/>
        </w:rPr>
        <w:t xml:space="preserve"> </w:t>
      </w:r>
      <w:r w:rsidR="00F45639" w:rsidRPr="00B20974">
        <w:rPr>
          <w:rFonts w:eastAsia="Times New Roman" w:cs="Arial"/>
          <w:b/>
          <w:bCs/>
          <w:sz w:val="22"/>
          <w:szCs w:val="22"/>
          <w:shd w:val="clear" w:color="auto" w:fill="FFFFFF"/>
          <w:lang w:eastAsia="en-GB"/>
        </w:rPr>
        <w:t>Density levels</w:t>
      </w:r>
      <w:r w:rsidR="00F45639" w:rsidRPr="00B20974">
        <w:rPr>
          <w:rFonts w:eastAsia="Times New Roman" w:cs="Arial"/>
          <w:sz w:val="22"/>
          <w:szCs w:val="22"/>
          <w:shd w:val="clear" w:color="auto" w:fill="FFFFFF"/>
          <w:lang w:eastAsia="en-GB"/>
        </w:rPr>
        <w:t xml:space="preserve"> should also reflect the physical ability of the site to absorb/drain flood water, whether ground water, surface water, fluvial or coastal flooding. Developers need to account for the fact that </w:t>
      </w:r>
      <w:proofErr w:type="spellStart"/>
      <w:r w:rsidR="00F45639" w:rsidRPr="00B20974">
        <w:rPr>
          <w:rFonts w:eastAsia="Times New Roman" w:cs="Arial"/>
          <w:sz w:val="22"/>
          <w:szCs w:val="22"/>
          <w:shd w:val="clear" w:color="auto" w:fill="FFFFFF"/>
          <w:lang w:eastAsia="en-GB"/>
        </w:rPr>
        <w:t>sud</w:t>
      </w:r>
      <w:proofErr w:type="spellEnd"/>
      <w:r w:rsidR="00F45639" w:rsidRPr="00B20974">
        <w:rPr>
          <w:rFonts w:eastAsia="Times New Roman" w:cs="Arial"/>
          <w:sz w:val="22"/>
          <w:szCs w:val="22"/>
          <w:shd w:val="clear" w:color="auto" w:fill="FFFFFF"/>
          <w:lang w:eastAsia="en-GB"/>
        </w:rPr>
        <w:t xml:space="preserve"> systems become compromised on sites where water tables are high, </w:t>
      </w:r>
      <w:r w:rsidR="00BB2231" w:rsidRPr="00B20974">
        <w:rPr>
          <w:rFonts w:eastAsia="Times New Roman" w:cs="Arial"/>
          <w:sz w:val="22"/>
          <w:szCs w:val="22"/>
          <w:shd w:val="clear" w:color="auto" w:fill="FFFFFF"/>
          <w:lang w:eastAsia="en-GB"/>
        </w:rPr>
        <w:t xml:space="preserve">a notable problem throughout the coastal </w:t>
      </w:r>
      <w:r w:rsidR="00890E2F" w:rsidRPr="00B20974">
        <w:rPr>
          <w:rFonts w:eastAsia="Times New Roman" w:cs="Arial"/>
          <w:sz w:val="22"/>
          <w:szCs w:val="22"/>
          <w:shd w:val="clear" w:color="auto" w:fill="FFFFFF"/>
          <w:lang w:eastAsia="en-GB"/>
        </w:rPr>
        <w:t xml:space="preserve">plain from Chichester both toward Selsey and toward </w:t>
      </w:r>
      <w:proofErr w:type="spellStart"/>
      <w:r w:rsidR="00890E2F" w:rsidRPr="00B20974">
        <w:rPr>
          <w:rFonts w:eastAsia="Times New Roman" w:cs="Arial"/>
          <w:sz w:val="22"/>
          <w:szCs w:val="22"/>
          <w:shd w:val="clear" w:color="auto" w:fill="FFFFFF"/>
          <w:lang w:eastAsia="en-GB"/>
        </w:rPr>
        <w:t>Emsworth</w:t>
      </w:r>
      <w:proofErr w:type="spellEnd"/>
      <w:r w:rsidR="00890E2F" w:rsidRPr="00B20974">
        <w:rPr>
          <w:rFonts w:eastAsia="Times New Roman" w:cs="Arial"/>
          <w:sz w:val="22"/>
          <w:szCs w:val="22"/>
          <w:shd w:val="clear" w:color="auto" w:fill="FFFFFF"/>
          <w:lang w:eastAsia="en-GB"/>
        </w:rPr>
        <w:t>.</w:t>
      </w:r>
    </w:p>
    <w:p w14:paraId="654F743A" w14:textId="6359D381" w:rsidR="00BE5E80" w:rsidRPr="00B20974" w:rsidRDefault="00BE5E80" w:rsidP="00301B8D">
      <w:pPr>
        <w:pStyle w:val="PlainText"/>
        <w:rPr>
          <w:rFonts w:asciiTheme="minorHAnsi" w:hAnsiTheme="minorHAnsi"/>
          <w:szCs w:val="22"/>
        </w:rPr>
      </w:pPr>
      <w:r w:rsidRPr="00B20974">
        <w:rPr>
          <w:rFonts w:asciiTheme="minorHAnsi" w:eastAsia="Times New Roman" w:hAnsiTheme="minorHAnsi" w:cs="Arial"/>
          <w:b/>
          <w:szCs w:val="22"/>
          <w:shd w:val="clear" w:color="auto" w:fill="FFFFFF"/>
          <w:lang w:eastAsia="en-GB"/>
        </w:rPr>
        <w:t>Comment 2</w:t>
      </w:r>
      <w:r w:rsidR="00016046" w:rsidRPr="00B20974">
        <w:rPr>
          <w:rFonts w:asciiTheme="minorHAnsi" w:eastAsia="Times New Roman" w:hAnsiTheme="minorHAnsi" w:cs="Arial"/>
          <w:szCs w:val="22"/>
          <w:shd w:val="clear" w:color="auto" w:fill="FFFFFF"/>
          <w:lang w:eastAsia="en-GB"/>
        </w:rPr>
        <w:t>: Is there to be a system for scaling development like the Dutch A, B, C system and will this apply to all levels in the settlement hierarchy including service villages? How big will be the radii for different densities and will this be scaled for convenient walking and cycling?</w:t>
      </w:r>
      <w:r w:rsidR="00186C81" w:rsidRPr="00B20974">
        <w:rPr>
          <w:rFonts w:asciiTheme="minorHAnsi" w:eastAsia="Times New Roman" w:hAnsiTheme="minorHAnsi" w:cs="Arial"/>
          <w:szCs w:val="22"/>
          <w:shd w:val="clear" w:color="auto" w:fill="FFFFFF"/>
          <w:lang w:eastAsia="en-GB"/>
        </w:rPr>
        <w:t xml:space="preserve"> See </w:t>
      </w:r>
      <w:r w:rsidR="00186C81" w:rsidRPr="00B20974">
        <w:rPr>
          <w:rFonts w:asciiTheme="minorHAnsi" w:eastAsia="Times New Roman" w:hAnsiTheme="minorHAnsi" w:cs="Arial"/>
          <w:szCs w:val="22"/>
          <w:highlight w:val="yellow"/>
          <w:shd w:val="clear" w:color="auto" w:fill="FFFFFF"/>
          <w:lang w:eastAsia="en-GB"/>
        </w:rPr>
        <w:t xml:space="preserve">also </w:t>
      </w:r>
      <w:r w:rsidR="00186C81" w:rsidRPr="00B20974">
        <w:rPr>
          <w:rFonts w:asciiTheme="minorHAnsi" w:hAnsiTheme="minorHAnsi"/>
          <w:szCs w:val="22"/>
          <w:highlight w:val="yellow"/>
        </w:rPr>
        <w:t>6.2.2.: ....'The scale of the proposed development is appropriate having regard to the settlement's location in the settlement hierarchy'</w:t>
      </w:r>
    </w:p>
    <w:p w14:paraId="43DD8598" w14:textId="245AE552" w:rsidR="007923FB" w:rsidRPr="00B20974" w:rsidRDefault="007923FB" w:rsidP="00B34CA0">
      <w:pPr>
        <w:rPr>
          <w:rFonts w:eastAsia="Times New Roman" w:cs="Arial"/>
          <w:sz w:val="22"/>
          <w:szCs w:val="22"/>
          <w:shd w:val="clear" w:color="auto" w:fill="FFFFFF"/>
          <w:lang w:eastAsia="en-GB"/>
        </w:rPr>
      </w:pPr>
    </w:p>
    <w:p w14:paraId="3D064DB7" w14:textId="77777777" w:rsidR="00564B99" w:rsidRPr="00B20974" w:rsidRDefault="00564B99" w:rsidP="00B34CA0">
      <w:pPr>
        <w:rPr>
          <w:sz w:val="22"/>
          <w:szCs w:val="22"/>
        </w:rPr>
      </w:pPr>
      <w:r w:rsidRPr="00B20974">
        <w:rPr>
          <w:sz w:val="22"/>
          <w:szCs w:val="22"/>
          <w:highlight w:val="yellow"/>
        </w:rPr>
        <w:t>4.7 Sites should also be acceptable in all other respects, e.g. highways access, flood risk, contribute to affordable housing and open space requirements, and should reflect the needs of local communities, in relation to the amount, size, type and mix of housing tenures proposed. It is important that any proposed development also complies with environmental standards as identified in Policy 40 of the CLPKP.</w:t>
      </w:r>
      <w:r w:rsidRPr="00B20974">
        <w:rPr>
          <w:sz w:val="22"/>
          <w:szCs w:val="22"/>
        </w:rPr>
        <w:t xml:space="preserve"> </w:t>
      </w:r>
    </w:p>
    <w:p w14:paraId="2AA6335C" w14:textId="77777777" w:rsidR="00D72BC3" w:rsidRPr="00B20974" w:rsidRDefault="00564B99" w:rsidP="00D72BC3">
      <w:pPr>
        <w:rPr>
          <w:rFonts w:eastAsia="Times New Roman" w:cs="Arial"/>
          <w:sz w:val="22"/>
          <w:szCs w:val="22"/>
          <w:shd w:val="clear" w:color="auto" w:fill="FFFFFF"/>
          <w:lang w:eastAsia="en-GB"/>
        </w:rPr>
      </w:pPr>
      <w:r w:rsidRPr="00B20974">
        <w:rPr>
          <w:rFonts w:eastAsia="Times New Roman" w:cs="Arial"/>
          <w:b/>
          <w:sz w:val="22"/>
          <w:szCs w:val="22"/>
          <w:shd w:val="clear" w:color="auto" w:fill="FFFFFF"/>
          <w:lang w:eastAsia="en-GB"/>
        </w:rPr>
        <w:t>Comment 1</w:t>
      </w:r>
      <w:r w:rsidRPr="00B20974">
        <w:rPr>
          <w:rFonts w:eastAsia="Times New Roman" w:cs="Arial"/>
          <w:sz w:val="22"/>
          <w:szCs w:val="22"/>
          <w:shd w:val="clear" w:color="auto" w:fill="FFFFFF"/>
          <w:lang w:eastAsia="en-GB"/>
        </w:rPr>
        <w:t>:</w:t>
      </w:r>
      <w:r w:rsidR="00D72BC3" w:rsidRPr="00B20974">
        <w:rPr>
          <w:rFonts w:eastAsia="Times New Roman" w:cs="Arial"/>
          <w:sz w:val="22"/>
          <w:szCs w:val="22"/>
          <w:shd w:val="clear" w:color="auto" w:fill="FFFFFF"/>
          <w:lang w:eastAsia="en-GB"/>
        </w:rPr>
        <w:t xml:space="preserve"> </w:t>
      </w:r>
      <w:r w:rsidR="00D72BC3" w:rsidRPr="00B20974">
        <w:rPr>
          <w:rFonts w:eastAsia="Times New Roman" w:cs="Arial"/>
          <w:b/>
          <w:bCs/>
          <w:sz w:val="22"/>
          <w:szCs w:val="22"/>
          <w:shd w:val="clear" w:color="auto" w:fill="FFFFFF"/>
          <w:lang w:eastAsia="en-GB"/>
        </w:rPr>
        <w:t>Highways access</w:t>
      </w:r>
      <w:r w:rsidR="00D72BC3" w:rsidRPr="00B20974">
        <w:rPr>
          <w:rFonts w:eastAsia="Times New Roman" w:cs="Arial"/>
          <w:sz w:val="22"/>
          <w:szCs w:val="22"/>
          <w:shd w:val="clear" w:color="auto" w:fill="FFFFFF"/>
          <w:lang w:eastAsia="en-GB"/>
        </w:rPr>
        <w:t xml:space="preserve"> needs to consider where residents likely will be working and/or seeking higher education/training and what other commuter choices are available including different road options, congestion issues, public transport and cycling facilities and distance. Settlements with no higher education/training facilities and low employment and accessed from only one direction (such as coastal settlements) should be considered as isolated and remote. This reflects the fact that the 2014-2029 CLP limited housing numbers due to traffic access and congestion issues on the coastal peninsula. These access constraints were confirmed as valid by the Government Planning Inspectors Report on the 2014-2029 Local Plan and have not changed.</w:t>
      </w:r>
      <w:r w:rsidR="00D72BC3" w:rsidRPr="00B20974">
        <w:rPr>
          <w:rStyle w:val="FootnoteReference"/>
          <w:rFonts w:eastAsia="Times New Roman" w:cs="Arial"/>
          <w:sz w:val="22"/>
          <w:szCs w:val="22"/>
          <w:shd w:val="clear" w:color="auto" w:fill="FFFFFF"/>
          <w:lang w:eastAsia="en-GB"/>
        </w:rPr>
        <w:footnoteReference w:id="6"/>
      </w:r>
      <w:r w:rsidR="00D72BC3" w:rsidRPr="00B20974">
        <w:rPr>
          <w:rFonts w:eastAsia="Times New Roman" w:cs="Arial"/>
          <w:sz w:val="22"/>
          <w:szCs w:val="22"/>
          <w:shd w:val="clear" w:color="auto" w:fill="FFFFFF"/>
          <w:lang w:eastAsia="en-GB"/>
        </w:rPr>
        <w:t xml:space="preserve"> </w:t>
      </w:r>
    </w:p>
    <w:p w14:paraId="450D0B9E" w14:textId="3055FB1F" w:rsidR="00D72BC3" w:rsidRPr="00B20974" w:rsidRDefault="00546089" w:rsidP="00D72BC3">
      <w:pPr>
        <w:autoSpaceDE w:val="0"/>
        <w:autoSpaceDN w:val="0"/>
        <w:adjustRightInd w:val="0"/>
        <w:rPr>
          <w:rFonts w:cs="Arial"/>
          <w:sz w:val="22"/>
          <w:szCs w:val="22"/>
        </w:rPr>
      </w:pPr>
      <w:r w:rsidRPr="00B20974">
        <w:rPr>
          <w:rFonts w:cs="Arial"/>
          <w:b/>
          <w:bCs/>
          <w:sz w:val="22"/>
          <w:szCs w:val="22"/>
        </w:rPr>
        <w:t xml:space="preserve">Comment 2: </w:t>
      </w:r>
      <w:r w:rsidR="00D72BC3" w:rsidRPr="00B20974">
        <w:rPr>
          <w:rFonts w:cs="Arial"/>
          <w:b/>
          <w:bCs/>
          <w:sz w:val="22"/>
          <w:szCs w:val="22"/>
        </w:rPr>
        <w:t xml:space="preserve">Flood risk </w:t>
      </w:r>
      <w:r w:rsidR="00D72BC3" w:rsidRPr="00B20974">
        <w:rPr>
          <w:rFonts w:cs="Arial"/>
          <w:sz w:val="22"/>
          <w:szCs w:val="22"/>
        </w:rPr>
        <w:t>needs to take into account the most recent scientific and planning research. The EA currently predicts sea level rise of up to 1.6 metres for the south east coastline by 2125 but it states that predictions will have to be constantly be revised. US based Climate Central predicts sea level rise of up to 3 metres by 2110 at current CO2 emission levels. Either of these predictions would result in continual inundation of sea water across the Manhood peninsula and in all the coastal and harbour settlements.</w:t>
      </w:r>
      <w:r w:rsidR="00D72BC3" w:rsidRPr="00B20974">
        <w:rPr>
          <w:rStyle w:val="FootnoteReference"/>
          <w:rFonts w:cs="Arial"/>
          <w:sz w:val="22"/>
          <w:szCs w:val="22"/>
        </w:rPr>
        <w:footnoteReference w:id="7"/>
      </w:r>
      <w:r w:rsidR="00D72BC3" w:rsidRPr="00B20974">
        <w:rPr>
          <w:rFonts w:cs="Arial"/>
          <w:sz w:val="22"/>
          <w:szCs w:val="22"/>
        </w:rPr>
        <w:t xml:space="preserve"> </w:t>
      </w:r>
      <w:r w:rsidR="00D72BC3" w:rsidRPr="00B20974">
        <w:rPr>
          <w:rFonts w:cs="Times New Roman"/>
          <w:sz w:val="22"/>
          <w:szCs w:val="22"/>
        </w:rPr>
        <w:t xml:space="preserve"> </w:t>
      </w:r>
      <w:r w:rsidR="00D72BC3" w:rsidRPr="00B20974">
        <w:rPr>
          <w:rFonts w:cs="Arial"/>
          <w:sz w:val="22"/>
          <w:szCs w:val="22"/>
        </w:rPr>
        <w:t>It is clear that local protection is low by international standards. Under current practice in developed countries, acceptable levels of coastal flood risk are often based upon specific flood return periods, such as the 100-year (with 1 % annual expected probability of occurrence [AEP]. Most developed countries build to protect against an AEP of 1%. The majority of coastal and tidal defences in the Chichester District, however, currently provide a standard of protection against an event with an AEP of 4% or 5%. A Swedish lidar study warns that future inundation in the coastal areas of the South East of England needs to be factored into a long-term planning strategy. The study includes the Chichester coastal plain, which is especially vulnerable.</w:t>
      </w:r>
      <w:r w:rsidR="00D72BC3" w:rsidRPr="00B20974">
        <w:rPr>
          <w:rStyle w:val="FootnoteReference"/>
          <w:rFonts w:cs="Arial"/>
          <w:sz w:val="22"/>
          <w:szCs w:val="22"/>
        </w:rPr>
        <w:footnoteReference w:id="8"/>
      </w:r>
      <w:r w:rsidR="00D72BC3" w:rsidRPr="00B20974">
        <w:rPr>
          <w:rFonts w:cs="Arial"/>
          <w:sz w:val="22"/>
          <w:szCs w:val="22"/>
        </w:rPr>
        <w:t xml:space="preserve">  The Manhood Peninsula is at particularly high risk of flooding as topography in this </w:t>
      </w:r>
      <w:r w:rsidR="00D72BC3" w:rsidRPr="00B20974">
        <w:rPr>
          <w:rFonts w:cs="Arial"/>
          <w:sz w:val="22"/>
          <w:szCs w:val="22"/>
        </w:rPr>
        <w:lastRenderedPageBreak/>
        <w:t xml:space="preserve">region is typically less than 5 m above current mean sea level. Even under moderate carbon emission scenarios (known as the RCP4.5 emission projections), without adaption or wide scale defence infrastructure, by 2050, highly populated areas of the Chichester district will fall below mean sea level. By 2100, the Witterings, </w:t>
      </w:r>
      <w:proofErr w:type="spellStart"/>
      <w:r w:rsidR="00D72BC3" w:rsidRPr="00B20974">
        <w:rPr>
          <w:rFonts w:cs="Arial"/>
          <w:sz w:val="22"/>
          <w:szCs w:val="22"/>
        </w:rPr>
        <w:t>Bracklesham</w:t>
      </w:r>
      <w:proofErr w:type="spellEnd"/>
      <w:r w:rsidR="00D72BC3" w:rsidRPr="00B20974">
        <w:rPr>
          <w:rFonts w:cs="Arial"/>
          <w:sz w:val="22"/>
          <w:szCs w:val="22"/>
        </w:rPr>
        <w:t xml:space="preserve">, Selsey, </w:t>
      </w:r>
      <w:proofErr w:type="spellStart"/>
      <w:r w:rsidR="00D72BC3" w:rsidRPr="00B20974">
        <w:rPr>
          <w:rFonts w:cs="Arial"/>
          <w:sz w:val="22"/>
          <w:szCs w:val="22"/>
        </w:rPr>
        <w:t>Almodington</w:t>
      </w:r>
      <w:proofErr w:type="spellEnd"/>
      <w:r w:rsidR="00D72BC3" w:rsidRPr="00B20974">
        <w:rPr>
          <w:rFonts w:cs="Arial"/>
          <w:sz w:val="22"/>
          <w:szCs w:val="22"/>
        </w:rPr>
        <w:t xml:space="preserve">, Bosham, </w:t>
      </w:r>
      <w:proofErr w:type="spellStart"/>
      <w:r w:rsidR="00D72BC3" w:rsidRPr="00B20974">
        <w:rPr>
          <w:rFonts w:cs="Arial"/>
          <w:sz w:val="22"/>
          <w:szCs w:val="22"/>
        </w:rPr>
        <w:t>Birdham</w:t>
      </w:r>
      <w:proofErr w:type="spellEnd"/>
      <w:r w:rsidR="00D72BC3" w:rsidRPr="00B20974">
        <w:rPr>
          <w:rFonts w:cs="Arial"/>
          <w:sz w:val="22"/>
          <w:szCs w:val="22"/>
        </w:rPr>
        <w:t xml:space="preserve">, Chidham, and </w:t>
      </w:r>
      <w:proofErr w:type="spellStart"/>
      <w:r w:rsidR="00D72BC3" w:rsidRPr="00B20974">
        <w:rPr>
          <w:rFonts w:cs="Arial"/>
          <w:sz w:val="22"/>
          <w:szCs w:val="22"/>
        </w:rPr>
        <w:t>Sidlesham</w:t>
      </w:r>
      <w:proofErr w:type="spellEnd"/>
      <w:r w:rsidR="00D72BC3" w:rsidRPr="00B20974">
        <w:rPr>
          <w:rFonts w:cs="Arial"/>
          <w:sz w:val="22"/>
          <w:szCs w:val="22"/>
        </w:rPr>
        <w:t xml:space="preserve"> will be subject to permanent inundation. When the annual flood event is considered, most regions south of Chichester city will be inundated regularly by 2100. The main areas at risk are </w:t>
      </w:r>
      <w:proofErr w:type="spellStart"/>
      <w:r w:rsidR="00D72BC3" w:rsidRPr="00B20974">
        <w:rPr>
          <w:rFonts w:cs="Arial"/>
          <w:sz w:val="22"/>
          <w:szCs w:val="22"/>
        </w:rPr>
        <w:t>Pagham</w:t>
      </w:r>
      <w:proofErr w:type="spellEnd"/>
      <w:r w:rsidR="00D72BC3" w:rsidRPr="00B20974">
        <w:rPr>
          <w:rFonts w:cs="Arial"/>
          <w:sz w:val="22"/>
          <w:szCs w:val="22"/>
        </w:rPr>
        <w:t>, Selsey and the Witterings with 20,000 permanent residents, and thousands of visitors each year. Additionally, standards of protection are low in the Chichester region and are unlikely to be improved.</w:t>
      </w:r>
      <w:r w:rsidR="00D72BC3" w:rsidRPr="00B20974">
        <w:rPr>
          <w:rStyle w:val="FootnoteReference"/>
          <w:rFonts w:cs="Arial"/>
          <w:sz w:val="22"/>
          <w:szCs w:val="22"/>
        </w:rPr>
        <w:footnoteReference w:id="9"/>
      </w:r>
    </w:p>
    <w:p w14:paraId="119410BD" w14:textId="7852D888" w:rsidR="007923FB" w:rsidRPr="00B20974" w:rsidRDefault="007923FB" w:rsidP="00B34CA0">
      <w:pPr>
        <w:rPr>
          <w:rFonts w:eastAsia="Times New Roman" w:cs="Arial"/>
          <w:sz w:val="22"/>
          <w:szCs w:val="22"/>
          <w:shd w:val="clear" w:color="auto" w:fill="FFFFFF"/>
          <w:lang w:eastAsia="en-GB"/>
        </w:rPr>
      </w:pPr>
    </w:p>
    <w:p w14:paraId="73C92B15" w14:textId="77777777" w:rsidR="00564B99" w:rsidRPr="00B20974" w:rsidRDefault="00564B99" w:rsidP="00564B99">
      <w:pPr>
        <w:pStyle w:val="Default"/>
        <w:rPr>
          <w:rFonts w:asciiTheme="minorHAnsi" w:hAnsiTheme="minorHAnsi"/>
          <w:color w:val="auto"/>
          <w:sz w:val="22"/>
          <w:szCs w:val="22"/>
        </w:rPr>
      </w:pPr>
      <w:r w:rsidRPr="00B20974">
        <w:rPr>
          <w:rFonts w:asciiTheme="minorHAnsi" w:hAnsiTheme="minorHAnsi"/>
          <w:i/>
          <w:iCs/>
          <w:color w:val="auto"/>
          <w:sz w:val="22"/>
          <w:szCs w:val="22"/>
        </w:rPr>
        <w:t xml:space="preserve">Relevant evidence </w:t>
      </w:r>
    </w:p>
    <w:p w14:paraId="1409F717" w14:textId="0813D5A2" w:rsidR="00564B99" w:rsidRPr="00B20974" w:rsidRDefault="00564B99" w:rsidP="00564B99">
      <w:pPr>
        <w:rPr>
          <w:sz w:val="22"/>
          <w:szCs w:val="22"/>
        </w:rPr>
      </w:pPr>
      <w:r w:rsidRPr="00B20974">
        <w:rPr>
          <w:sz w:val="22"/>
          <w:szCs w:val="22"/>
          <w:highlight w:val="yellow"/>
        </w:rPr>
        <w:t>4.8 This Interim Statement does not set out in full the range of relevant national and local planning policy and practice which will be applied when considering planning applications for residential development. It has been prepared to provide further guidance for applicants but should be read alongside other relevant national and local policy.</w:t>
      </w:r>
    </w:p>
    <w:p w14:paraId="1D49CA40" w14:textId="69A5925D" w:rsidR="007923FB" w:rsidRPr="00B20974" w:rsidRDefault="00564B99" w:rsidP="00564B99">
      <w:pPr>
        <w:rPr>
          <w:rFonts w:eastAsia="Times New Roman" w:cs="Arial"/>
          <w:sz w:val="22"/>
          <w:szCs w:val="22"/>
          <w:shd w:val="clear" w:color="auto" w:fill="FFFFFF"/>
          <w:lang w:eastAsia="en-GB"/>
        </w:rPr>
      </w:pPr>
      <w:r w:rsidRPr="00B20974">
        <w:rPr>
          <w:rFonts w:eastAsia="Times New Roman" w:cs="Arial"/>
          <w:b/>
          <w:sz w:val="22"/>
          <w:szCs w:val="22"/>
          <w:shd w:val="clear" w:color="auto" w:fill="FFFFFF"/>
          <w:lang w:eastAsia="en-GB"/>
        </w:rPr>
        <w:t>Comment</w:t>
      </w:r>
      <w:r w:rsidR="00186C81" w:rsidRPr="00B20974">
        <w:rPr>
          <w:rFonts w:eastAsia="Times New Roman" w:cs="Arial"/>
          <w:b/>
          <w:sz w:val="22"/>
          <w:szCs w:val="22"/>
          <w:shd w:val="clear" w:color="auto" w:fill="FFFFFF"/>
          <w:lang w:eastAsia="en-GB"/>
        </w:rPr>
        <w:t xml:space="preserve"> </w:t>
      </w:r>
      <w:r w:rsidRPr="00B20974">
        <w:rPr>
          <w:rFonts w:eastAsia="Times New Roman" w:cs="Arial"/>
          <w:b/>
          <w:sz w:val="22"/>
          <w:szCs w:val="22"/>
          <w:shd w:val="clear" w:color="auto" w:fill="FFFFFF"/>
          <w:lang w:eastAsia="en-GB"/>
        </w:rPr>
        <w:t>1</w:t>
      </w:r>
      <w:r w:rsidRPr="00B20974">
        <w:rPr>
          <w:rFonts w:eastAsia="Times New Roman" w:cs="Arial"/>
          <w:sz w:val="22"/>
          <w:szCs w:val="22"/>
          <w:shd w:val="clear" w:color="auto" w:fill="FFFFFF"/>
          <w:lang w:eastAsia="en-GB"/>
        </w:rPr>
        <w:t>:</w:t>
      </w:r>
      <w:r w:rsidR="007923FB" w:rsidRPr="00B20974">
        <w:rPr>
          <w:rFonts w:eastAsia="Times New Roman" w:cs="Arial"/>
          <w:sz w:val="22"/>
          <w:szCs w:val="22"/>
          <w:shd w:val="clear" w:color="auto" w:fill="FFFFFF"/>
          <w:lang w:eastAsia="en-GB"/>
        </w:rPr>
        <w:t xml:space="preserve"> As a council that has declared a Climate Change Emergency, CDC will be taking significant note of emerging planning policies and guidance relating to climate mitigation particularly </w:t>
      </w:r>
      <w:r w:rsidR="00530C96" w:rsidRPr="00B20974">
        <w:rPr>
          <w:rFonts w:eastAsia="Times New Roman" w:cs="Arial"/>
          <w:sz w:val="22"/>
          <w:szCs w:val="22"/>
          <w:shd w:val="clear" w:color="auto" w:fill="FFFFFF"/>
          <w:lang w:eastAsia="en-GB"/>
        </w:rPr>
        <w:t xml:space="preserve">regarding </w:t>
      </w:r>
      <w:r w:rsidR="007923FB" w:rsidRPr="00B20974">
        <w:rPr>
          <w:rFonts w:eastAsia="Times New Roman" w:cs="Arial"/>
          <w:sz w:val="22"/>
          <w:szCs w:val="22"/>
          <w:shd w:val="clear" w:color="auto" w:fill="FFFFFF"/>
          <w:lang w:eastAsia="en-GB"/>
        </w:rPr>
        <w:t>flood</w:t>
      </w:r>
      <w:r w:rsidR="00530C96" w:rsidRPr="00B20974">
        <w:rPr>
          <w:rFonts w:eastAsia="Times New Roman" w:cs="Arial"/>
          <w:sz w:val="22"/>
          <w:szCs w:val="22"/>
          <w:shd w:val="clear" w:color="auto" w:fill="FFFFFF"/>
          <w:lang w:eastAsia="en-GB"/>
        </w:rPr>
        <w:t xml:space="preserve"> risk</w:t>
      </w:r>
      <w:r w:rsidR="007923FB" w:rsidRPr="00B20974">
        <w:rPr>
          <w:rFonts w:eastAsia="Times New Roman" w:cs="Arial"/>
          <w:sz w:val="22"/>
          <w:szCs w:val="22"/>
          <w:shd w:val="clear" w:color="auto" w:fill="FFFFFF"/>
          <w:lang w:eastAsia="en-GB"/>
        </w:rPr>
        <w:t xml:space="preserve"> and CO2 emissions.</w:t>
      </w:r>
    </w:p>
    <w:p w14:paraId="5112D915" w14:textId="4AD3886D" w:rsidR="007923FB" w:rsidRPr="00B20974" w:rsidRDefault="007923FB" w:rsidP="00B34CA0">
      <w:pPr>
        <w:rPr>
          <w:rFonts w:eastAsia="Times New Roman" w:cs="Arial"/>
          <w:sz w:val="22"/>
          <w:szCs w:val="22"/>
          <w:shd w:val="clear" w:color="auto" w:fill="FFFFFF"/>
          <w:lang w:eastAsia="en-GB"/>
        </w:rPr>
      </w:pPr>
    </w:p>
    <w:p w14:paraId="027662B5" w14:textId="5D6540B1" w:rsidR="00186C81" w:rsidRPr="00B20974" w:rsidRDefault="00186C81" w:rsidP="00B34CA0">
      <w:pPr>
        <w:pStyle w:val="PlainText"/>
        <w:rPr>
          <w:rFonts w:asciiTheme="minorHAnsi" w:hAnsiTheme="minorHAnsi"/>
          <w:b/>
          <w:bCs/>
          <w:szCs w:val="22"/>
        </w:rPr>
      </w:pPr>
      <w:r w:rsidRPr="00B20974">
        <w:rPr>
          <w:rFonts w:asciiTheme="minorHAnsi" w:hAnsiTheme="minorHAnsi"/>
          <w:b/>
          <w:bCs/>
          <w:szCs w:val="22"/>
        </w:rPr>
        <w:t xml:space="preserve">6 Interim Housing Policy Statement </w:t>
      </w:r>
    </w:p>
    <w:p w14:paraId="106FBC64" w14:textId="3607A274" w:rsidR="005F6F09" w:rsidRPr="00B20974" w:rsidRDefault="005F6F09" w:rsidP="00B34CA0">
      <w:pPr>
        <w:pStyle w:val="PlainText"/>
        <w:rPr>
          <w:rFonts w:asciiTheme="minorHAnsi" w:hAnsiTheme="minorHAnsi"/>
          <w:b/>
          <w:bCs/>
          <w:szCs w:val="22"/>
        </w:rPr>
      </w:pPr>
      <w:r w:rsidRPr="00B20974">
        <w:rPr>
          <w:rFonts w:asciiTheme="minorHAnsi" w:hAnsiTheme="minorHAnsi"/>
          <w:b/>
          <w:bCs/>
          <w:szCs w:val="22"/>
          <w:highlight w:val="yellow"/>
        </w:rPr>
        <w:t>6.1 The Council recognises the presumption in favour of sustainable development as set out in the National Planning Policy Framework and its application where the Council is unable to demonstrate a five year housing land supply. While the presumption applies, the Council will seek to ensure that planning applications for good quality housing developments of an appropriate scale and in accessible locations are supported.</w:t>
      </w:r>
    </w:p>
    <w:p w14:paraId="68B13D67" w14:textId="58BC6F27" w:rsidR="008F6360" w:rsidRPr="00B20974" w:rsidRDefault="005F6F09" w:rsidP="005F6F09">
      <w:pPr>
        <w:pStyle w:val="NormalWeb"/>
        <w:spacing w:before="0" w:beforeAutospacing="0" w:after="0" w:afterAutospacing="0"/>
        <w:rPr>
          <w:rFonts w:asciiTheme="minorHAnsi" w:hAnsiTheme="minorHAnsi" w:cs="Arial"/>
          <w:sz w:val="22"/>
          <w:szCs w:val="22"/>
        </w:rPr>
      </w:pPr>
      <w:r w:rsidRPr="00B20974">
        <w:rPr>
          <w:rFonts w:asciiTheme="minorHAnsi" w:hAnsiTheme="minorHAnsi" w:cs="Arial"/>
          <w:b/>
          <w:sz w:val="22"/>
          <w:szCs w:val="22"/>
          <w:shd w:val="clear" w:color="auto" w:fill="FFFFFF"/>
        </w:rPr>
        <w:t>Comment 1</w:t>
      </w:r>
      <w:r w:rsidRPr="00B20974">
        <w:rPr>
          <w:rFonts w:asciiTheme="minorHAnsi" w:hAnsiTheme="minorHAnsi" w:cs="Arial"/>
          <w:sz w:val="22"/>
          <w:szCs w:val="22"/>
          <w:shd w:val="clear" w:color="auto" w:fill="FFFFFF"/>
        </w:rPr>
        <w:t>: Locations must be safe so add</w:t>
      </w:r>
      <w:r w:rsidR="008F6360" w:rsidRPr="00B20974">
        <w:rPr>
          <w:rFonts w:asciiTheme="minorHAnsi" w:hAnsiTheme="minorHAnsi" w:cs="Arial"/>
          <w:sz w:val="22"/>
          <w:szCs w:val="22"/>
          <w:shd w:val="clear" w:color="auto" w:fill="FFFFFF"/>
        </w:rPr>
        <w:t xml:space="preserve">…“in accessible </w:t>
      </w:r>
      <w:r w:rsidR="008F6360" w:rsidRPr="00B20974">
        <w:rPr>
          <w:rFonts w:asciiTheme="minorHAnsi" w:hAnsiTheme="minorHAnsi" w:cs="Arial"/>
          <w:b/>
          <w:bCs/>
          <w:sz w:val="22"/>
          <w:szCs w:val="22"/>
          <w:shd w:val="clear" w:color="auto" w:fill="FFFFFF"/>
        </w:rPr>
        <w:t>AND SAFE</w:t>
      </w:r>
      <w:r w:rsidR="008F6360" w:rsidRPr="00B20974">
        <w:rPr>
          <w:rFonts w:asciiTheme="minorHAnsi" w:hAnsiTheme="minorHAnsi" w:cs="Arial"/>
          <w:sz w:val="22"/>
          <w:szCs w:val="22"/>
          <w:shd w:val="clear" w:color="auto" w:fill="FFFFFF"/>
        </w:rPr>
        <w:t xml:space="preserve"> locations.” </w:t>
      </w:r>
      <w:r w:rsidR="008F6360" w:rsidRPr="00B20974">
        <w:rPr>
          <w:rFonts w:asciiTheme="minorHAnsi" w:hAnsiTheme="minorHAnsi" w:cs="Arial"/>
          <w:sz w:val="22"/>
          <w:szCs w:val="22"/>
        </w:rPr>
        <w:t xml:space="preserve">Development proposals shall be in accordance with the Council’s declaration of a Climate Change Emergency. </w:t>
      </w:r>
      <w:r w:rsidR="008F6360" w:rsidRPr="00B20974">
        <w:rPr>
          <w:rFonts w:asciiTheme="minorHAnsi" w:hAnsiTheme="minorHAnsi" w:cs="Arial"/>
          <w:sz w:val="22"/>
          <w:szCs w:val="22"/>
          <w:shd w:val="clear" w:color="auto" w:fill="FFFFFF"/>
        </w:rPr>
        <w:t xml:space="preserve"> Safety from future flood risk is a critical planning aspect which needs to be included in the Interim Housing Policy Statement due to Chichester District’s particular vulnerability to catastrophic flood risk from rising sea levels. In 2001 Dutch and British planners and water/coastal engineers described all land below 5 metres on Chichester’s coastal hinterland as ‘unsafe’ for development due to fluvial and coastal flood risk.</w:t>
      </w:r>
      <w:r w:rsidR="008F6360" w:rsidRPr="00B20974">
        <w:rPr>
          <w:rStyle w:val="FootnoteReference"/>
          <w:rFonts w:asciiTheme="minorHAnsi" w:hAnsiTheme="minorHAnsi" w:cs="Arial"/>
          <w:sz w:val="22"/>
          <w:szCs w:val="22"/>
          <w:shd w:val="clear" w:color="auto" w:fill="FFFFFF"/>
        </w:rPr>
        <w:footnoteReference w:id="10"/>
      </w:r>
      <w:r w:rsidR="008F6360" w:rsidRPr="00B20974">
        <w:rPr>
          <w:rFonts w:asciiTheme="minorHAnsi" w:hAnsiTheme="minorHAnsi" w:cs="Arial"/>
          <w:sz w:val="22"/>
          <w:szCs w:val="22"/>
          <w:shd w:val="clear" w:color="auto" w:fill="FFFFFF"/>
        </w:rPr>
        <w:t xml:space="preserve"> Since 2001 predicted sea level rise has increased significantly. Until a comprehensive and updated Strategic Flood Risk Assessment has been undertaken for the district in line with current predicted sea level rises and expected planning guidance changes, only sites above 7 metres above sea level should be considered as sustainable sites for new development.</w:t>
      </w:r>
      <w:r w:rsidR="008F6360" w:rsidRPr="00B20974">
        <w:rPr>
          <w:rStyle w:val="FootnoteReference"/>
          <w:rFonts w:asciiTheme="minorHAnsi" w:hAnsiTheme="minorHAnsi" w:cs="Arial"/>
          <w:sz w:val="22"/>
          <w:szCs w:val="22"/>
          <w:shd w:val="clear" w:color="auto" w:fill="FFFFFF"/>
        </w:rPr>
        <w:footnoteReference w:id="11"/>
      </w:r>
      <w:r w:rsidR="008F6360" w:rsidRPr="00B20974">
        <w:rPr>
          <w:rFonts w:asciiTheme="minorHAnsi" w:hAnsiTheme="minorHAnsi" w:cs="Arial"/>
          <w:sz w:val="22"/>
          <w:szCs w:val="22"/>
          <w:shd w:val="clear" w:color="auto" w:fill="FFFFFF"/>
        </w:rPr>
        <w:t xml:space="preserve">  </w:t>
      </w:r>
      <w:r w:rsidR="008F6360" w:rsidRPr="00B20974">
        <w:rPr>
          <w:rFonts w:asciiTheme="minorHAnsi" w:hAnsiTheme="minorHAnsi" w:cs="Arial"/>
          <w:sz w:val="22"/>
          <w:szCs w:val="22"/>
        </w:rPr>
        <w:t xml:space="preserve">Allowances for climate change over the lifetime of a proposed development must be made in line with the latest guidance for climate change. Chichester District Council's existing Strategic Flood Risk Assessment has separate high climate change allowances (referred to as high++) that only apply in assessments for developments that are very sensitive to flood risk, for example large scale energy </w:t>
      </w:r>
      <w:r w:rsidR="008F6360" w:rsidRPr="00B20974">
        <w:rPr>
          <w:rFonts w:asciiTheme="minorHAnsi" w:hAnsiTheme="minorHAnsi" w:cs="Arial"/>
          <w:sz w:val="22"/>
          <w:szCs w:val="22"/>
        </w:rPr>
        <w:lastRenderedPageBreak/>
        <w:t xml:space="preserve">generating infrastructure, and that have lifetimes beyond the end of the century. </w:t>
      </w:r>
      <w:r w:rsidR="008F6360" w:rsidRPr="00B20974">
        <w:rPr>
          <w:rStyle w:val="FootnoteReference"/>
          <w:rFonts w:asciiTheme="minorHAnsi" w:hAnsiTheme="minorHAnsi" w:cs="Arial"/>
          <w:sz w:val="22"/>
          <w:szCs w:val="22"/>
        </w:rPr>
        <w:footnoteReference w:id="12"/>
      </w:r>
      <w:r w:rsidR="008F6360" w:rsidRPr="00B20974">
        <w:rPr>
          <w:rFonts w:asciiTheme="minorHAnsi" w:hAnsiTheme="minorHAnsi" w:cs="Arial"/>
          <w:sz w:val="22"/>
          <w:szCs w:val="22"/>
        </w:rPr>
        <w:t xml:space="preserve"> Until an updated SFRA is completed Chichester District Council should use these high climate change allowances to evaluate all proposed housing developments which will face much higher risk in the future.</w:t>
      </w:r>
      <w:r w:rsidR="008F6360" w:rsidRPr="00B20974">
        <w:rPr>
          <w:rFonts w:asciiTheme="minorHAnsi" w:hAnsiTheme="minorHAnsi" w:cs="Arial"/>
          <w:sz w:val="22"/>
          <w:szCs w:val="22"/>
          <w:shd w:val="clear" w:color="auto" w:fill="FFFFFF"/>
        </w:rPr>
        <w:t xml:space="preserve"> </w:t>
      </w:r>
    </w:p>
    <w:p w14:paraId="29274317" w14:textId="13DDCDEC" w:rsidR="005F6F09" w:rsidRPr="00B20974" w:rsidRDefault="005F6F09" w:rsidP="00B34CA0">
      <w:pPr>
        <w:pStyle w:val="PlainText"/>
        <w:rPr>
          <w:rFonts w:asciiTheme="minorHAnsi" w:hAnsiTheme="minorHAnsi"/>
          <w:b/>
          <w:bCs/>
          <w:szCs w:val="22"/>
        </w:rPr>
      </w:pPr>
    </w:p>
    <w:p w14:paraId="359CC589" w14:textId="7FCFF766" w:rsidR="00186C81" w:rsidRPr="00B20974" w:rsidRDefault="00186C81" w:rsidP="00B34CA0">
      <w:pPr>
        <w:pStyle w:val="PlainText"/>
        <w:rPr>
          <w:rFonts w:asciiTheme="minorHAnsi" w:hAnsiTheme="minorHAnsi"/>
          <w:b/>
          <w:bCs/>
          <w:szCs w:val="22"/>
          <w:highlight w:val="yellow"/>
        </w:rPr>
      </w:pPr>
      <w:r w:rsidRPr="00B20974">
        <w:rPr>
          <w:rFonts w:asciiTheme="minorHAnsi" w:hAnsiTheme="minorHAnsi"/>
          <w:b/>
          <w:bCs/>
          <w:szCs w:val="22"/>
          <w:highlight w:val="yellow"/>
        </w:rPr>
        <w:t>6.2 To provide clarity for applicants and other parties, the following criteria set out what the Council considers good quality development in the Chichester Local Plan area, with reference to adopted and emerging Local Plan policy and evidence.</w:t>
      </w:r>
    </w:p>
    <w:p w14:paraId="68530C7F" w14:textId="7BD769B5" w:rsidR="00CA7C6F" w:rsidRPr="00B20974" w:rsidRDefault="00CA7C6F" w:rsidP="000056A7">
      <w:pPr>
        <w:pStyle w:val="Default"/>
        <w:rPr>
          <w:rFonts w:asciiTheme="minorHAnsi" w:hAnsiTheme="minorHAnsi"/>
          <w:color w:val="auto"/>
          <w:sz w:val="22"/>
          <w:szCs w:val="22"/>
        </w:rPr>
      </w:pPr>
      <w:r w:rsidRPr="00B20974">
        <w:rPr>
          <w:rFonts w:asciiTheme="minorHAnsi" w:hAnsiTheme="minorHAnsi"/>
          <w:color w:val="auto"/>
          <w:sz w:val="22"/>
          <w:szCs w:val="22"/>
          <w:highlight w:val="yellow"/>
        </w:rPr>
        <w:t>(6.2) 2. The scale of development proposed is appropriate having regard to the settlement’s location in the settlement hierarchy</w:t>
      </w:r>
      <w:r w:rsidRPr="00B20974">
        <w:rPr>
          <w:rFonts w:asciiTheme="minorHAnsi" w:hAnsiTheme="minorHAnsi"/>
          <w:color w:val="auto"/>
          <w:sz w:val="22"/>
          <w:szCs w:val="22"/>
        </w:rPr>
        <w:t xml:space="preserve"> </w:t>
      </w:r>
    </w:p>
    <w:p w14:paraId="5060F06E" w14:textId="1D413C68" w:rsidR="00E37EF6" w:rsidRPr="00B20974" w:rsidRDefault="00CA7C6F" w:rsidP="00CA7C6F">
      <w:pPr>
        <w:pStyle w:val="NormalWeb"/>
        <w:spacing w:before="0" w:beforeAutospacing="0" w:after="0" w:afterAutospacing="0"/>
        <w:rPr>
          <w:rFonts w:asciiTheme="minorHAnsi" w:hAnsiTheme="minorHAnsi" w:cs="Arial"/>
          <w:sz w:val="22"/>
          <w:szCs w:val="22"/>
          <w:shd w:val="clear" w:color="auto" w:fill="FFFFFF"/>
        </w:rPr>
      </w:pPr>
      <w:r w:rsidRPr="00B20974">
        <w:rPr>
          <w:rFonts w:asciiTheme="minorHAnsi" w:hAnsiTheme="minorHAnsi" w:cs="Arial"/>
          <w:b/>
          <w:sz w:val="22"/>
          <w:szCs w:val="22"/>
          <w:shd w:val="clear" w:color="auto" w:fill="FFFFFF"/>
        </w:rPr>
        <w:t>Comment 1</w:t>
      </w:r>
      <w:r w:rsidRPr="00B20974">
        <w:rPr>
          <w:rFonts w:asciiTheme="minorHAnsi" w:hAnsiTheme="minorHAnsi" w:cs="Arial"/>
          <w:sz w:val="22"/>
          <w:szCs w:val="22"/>
          <w:shd w:val="clear" w:color="auto" w:fill="FFFFFF"/>
        </w:rPr>
        <w:t xml:space="preserve">: </w:t>
      </w:r>
      <w:r w:rsidR="00E37EF6" w:rsidRPr="00B20974">
        <w:rPr>
          <w:rFonts w:asciiTheme="minorHAnsi" w:hAnsiTheme="minorHAnsi" w:cs="Arial"/>
          <w:sz w:val="22"/>
          <w:szCs w:val="22"/>
          <w:shd w:val="clear" w:color="auto" w:fill="FFFFFF"/>
        </w:rPr>
        <w:t xml:space="preserve">In the absence of a Local Plan, settlement hierarchy must take into account CDC’s declaration of a Climate Change Emergency, recent advice from the Environment Agency, Parliament and the Committee for Climate Change about the need for long term flood risk planning, and the reduced sustainability of any settlements which face significantly increased flood risk this century. </w:t>
      </w:r>
      <w:r w:rsidR="00E37EF6" w:rsidRPr="00B20974">
        <w:rPr>
          <w:rFonts w:asciiTheme="minorHAnsi" w:hAnsiTheme="minorHAnsi"/>
          <w:sz w:val="22"/>
          <w:szCs w:val="22"/>
        </w:rPr>
        <w:t>The Environment Agency advises local authorities to plan for flood and coastal risk up to 2065.</w:t>
      </w:r>
      <w:r w:rsidR="00E37EF6" w:rsidRPr="00B20974">
        <w:rPr>
          <w:rStyle w:val="FootnoteReference"/>
          <w:rFonts w:asciiTheme="minorHAnsi" w:hAnsiTheme="minorHAnsi"/>
          <w:sz w:val="22"/>
          <w:szCs w:val="22"/>
        </w:rPr>
        <w:footnoteReference w:id="13"/>
      </w:r>
      <w:r w:rsidR="00E37EF6" w:rsidRPr="00B20974">
        <w:rPr>
          <w:rFonts w:asciiTheme="minorHAnsi" w:hAnsiTheme="minorHAnsi"/>
          <w:sz w:val="22"/>
          <w:szCs w:val="22"/>
        </w:rPr>
        <w:t xml:space="preserve"> NPPF states that “</w:t>
      </w:r>
      <w:r w:rsidR="00E37EF6" w:rsidRPr="00B20974">
        <w:rPr>
          <w:rFonts w:asciiTheme="minorHAnsi" w:hAnsiTheme="minorHAnsi" w:cs="Arial"/>
          <w:sz w:val="22"/>
          <w:szCs w:val="22"/>
          <w:shd w:val="clear" w:color="auto" w:fill="FFFFFF"/>
        </w:rPr>
        <w:t xml:space="preserve">inappropriate development in areas at risk of flooding should be avoided by directing development away from areas at highest risk (whether existing or future).” The coastal and harbour settlements in Chichester District will face significant flood risk by 2065. </w:t>
      </w:r>
    </w:p>
    <w:p w14:paraId="094D7D97" w14:textId="77777777" w:rsidR="00CA7C6F" w:rsidRPr="00B20974" w:rsidRDefault="00CA7C6F" w:rsidP="00B34CA0">
      <w:pPr>
        <w:pStyle w:val="PlainText"/>
        <w:rPr>
          <w:rFonts w:asciiTheme="minorHAnsi" w:hAnsiTheme="minorHAnsi"/>
          <w:b/>
          <w:bCs/>
          <w:szCs w:val="22"/>
          <w:highlight w:val="yellow"/>
        </w:rPr>
      </w:pPr>
    </w:p>
    <w:p w14:paraId="3D4DD2A9" w14:textId="625CFB0D" w:rsidR="00BC1550" w:rsidRPr="00B20974" w:rsidRDefault="00EC3902" w:rsidP="00EC3902">
      <w:pPr>
        <w:pStyle w:val="Default"/>
        <w:rPr>
          <w:rFonts w:asciiTheme="minorHAnsi" w:hAnsiTheme="minorHAnsi"/>
          <w:color w:val="auto"/>
          <w:sz w:val="22"/>
          <w:szCs w:val="22"/>
        </w:rPr>
      </w:pPr>
      <w:r w:rsidRPr="00B20974">
        <w:rPr>
          <w:rFonts w:asciiTheme="minorHAnsi" w:hAnsiTheme="minorHAnsi"/>
          <w:color w:val="auto"/>
          <w:sz w:val="22"/>
          <w:szCs w:val="22"/>
          <w:highlight w:val="yellow"/>
        </w:rPr>
        <w:t xml:space="preserve">(6.2) </w:t>
      </w:r>
      <w:r w:rsidR="00186C81" w:rsidRPr="00B20974">
        <w:rPr>
          <w:rFonts w:asciiTheme="minorHAnsi" w:hAnsiTheme="minorHAnsi"/>
          <w:color w:val="auto"/>
          <w:sz w:val="22"/>
          <w:szCs w:val="22"/>
          <w:highlight w:val="yellow"/>
        </w:rPr>
        <w:t>3. The impact of development on the edge of settlements, or in areas identified as the locations for potential landscape gaps, individually or cumulatively does not result in the actual or perceived coalescence of settlements, as demonstrated through the submission of a Landscape and Visual Impact Assessment.</w:t>
      </w:r>
      <w:r w:rsidR="00186C81" w:rsidRPr="00B20974">
        <w:rPr>
          <w:rFonts w:asciiTheme="minorHAnsi" w:hAnsiTheme="minorHAnsi"/>
          <w:color w:val="auto"/>
          <w:sz w:val="22"/>
          <w:szCs w:val="22"/>
        </w:rPr>
        <w:t xml:space="preserve"> </w:t>
      </w:r>
    </w:p>
    <w:p w14:paraId="6D9762A0" w14:textId="11FF35C0" w:rsidR="00BC1550" w:rsidRPr="00B20974" w:rsidRDefault="00BC1550" w:rsidP="00B34CA0">
      <w:pPr>
        <w:pStyle w:val="PlainText"/>
        <w:rPr>
          <w:rFonts w:asciiTheme="minorHAnsi" w:hAnsiTheme="minorHAnsi"/>
          <w:szCs w:val="22"/>
        </w:rPr>
      </w:pPr>
      <w:r w:rsidRPr="00B20974">
        <w:rPr>
          <w:rFonts w:asciiTheme="minorHAnsi" w:hAnsiTheme="minorHAnsi"/>
          <w:b/>
          <w:szCs w:val="22"/>
        </w:rPr>
        <w:t>Comment</w:t>
      </w:r>
      <w:r w:rsidR="00186C81" w:rsidRPr="00B20974">
        <w:rPr>
          <w:rFonts w:asciiTheme="minorHAnsi" w:hAnsiTheme="minorHAnsi"/>
          <w:b/>
          <w:szCs w:val="22"/>
        </w:rPr>
        <w:t xml:space="preserve"> 1</w:t>
      </w:r>
      <w:r w:rsidRPr="00B20974">
        <w:rPr>
          <w:rFonts w:asciiTheme="minorHAnsi" w:hAnsiTheme="minorHAnsi"/>
          <w:szCs w:val="22"/>
        </w:rPr>
        <w:t>:  The concentration of development along the A259 has already compromised the distinctiveness of the villages along there and the ribbon development proposed along this road further closes the gaps between villages.</w:t>
      </w:r>
    </w:p>
    <w:p w14:paraId="06BDB6EF" w14:textId="77777777" w:rsidR="000056A7" w:rsidRPr="00B20974" w:rsidRDefault="000056A7" w:rsidP="00B34CA0">
      <w:pPr>
        <w:pStyle w:val="PlainText"/>
        <w:rPr>
          <w:rFonts w:asciiTheme="minorHAnsi" w:hAnsiTheme="minorHAnsi"/>
          <w:szCs w:val="22"/>
        </w:rPr>
      </w:pPr>
    </w:p>
    <w:p w14:paraId="265B9AA3" w14:textId="560F65CF" w:rsidR="00EC3902" w:rsidRPr="00B20974" w:rsidRDefault="00EC3902" w:rsidP="00EC3902">
      <w:pPr>
        <w:pStyle w:val="Default"/>
        <w:rPr>
          <w:rFonts w:asciiTheme="minorHAnsi" w:hAnsiTheme="minorHAnsi"/>
          <w:color w:val="auto"/>
          <w:sz w:val="22"/>
          <w:szCs w:val="22"/>
        </w:rPr>
      </w:pPr>
      <w:r w:rsidRPr="00B20974">
        <w:rPr>
          <w:rFonts w:asciiTheme="minorHAnsi" w:hAnsiTheme="minorHAnsi"/>
          <w:color w:val="auto"/>
          <w:sz w:val="22"/>
          <w:szCs w:val="22"/>
          <w:highlight w:val="yellow"/>
        </w:rPr>
        <w:t>(</w:t>
      </w:r>
      <w:r w:rsidR="00BC1550" w:rsidRPr="00B20974">
        <w:rPr>
          <w:rFonts w:asciiTheme="minorHAnsi" w:hAnsiTheme="minorHAnsi"/>
          <w:color w:val="auto"/>
          <w:sz w:val="22"/>
          <w:szCs w:val="22"/>
          <w:highlight w:val="yellow"/>
        </w:rPr>
        <w:t>6.2</w:t>
      </w:r>
      <w:r w:rsidR="000056A7" w:rsidRPr="00B20974">
        <w:rPr>
          <w:rFonts w:asciiTheme="minorHAnsi" w:hAnsiTheme="minorHAnsi"/>
          <w:color w:val="auto"/>
          <w:sz w:val="22"/>
          <w:szCs w:val="22"/>
          <w:highlight w:val="yellow"/>
        </w:rPr>
        <w:t>) 4</w:t>
      </w:r>
      <w:r w:rsidR="00CD38E1" w:rsidRPr="00B20974">
        <w:rPr>
          <w:rFonts w:asciiTheme="minorHAnsi" w:hAnsiTheme="minorHAnsi"/>
          <w:color w:val="auto"/>
          <w:sz w:val="22"/>
          <w:szCs w:val="22"/>
          <w:highlight w:val="yellow"/>
        </w:rPr>
        <w:t xml:space="preserve">. </w:t>
      </w:r>
      <w:r w:rsidRPr="00B20974">
        <w:rPr>
          <w:rFonts w:asciiTheme="minorHAnsi" w:hAnsiTheme="minorHAnsi"/>
          <w:color w:val="auto"/>
          <w:sz w:val="22"/>
          <w:szCs w:val="22"/>
          <w:highlight w:val="yellow"/>
        </w:rPr>
        <w:t>Development proposals make best and most efficient use of the land5, whilst respecting the character and appearance of the settlement. The Council will encourage planned higher densities in sustainable locations where appropriate (for example, in Chichester City and the Settlement Hubs). Arbitrarily low density or piecemeal development such as the artificial sub-division of larger land parcels will not be encouraged.</w:t>
      </w:r>
      <w:r w:rsidRPr="00B20974">
        <w:rPr>
          <w:rFonts w:asciiTheme="minorHAnsi" w:hAnsiTheme="minorHAnsi"/>
          <w:color w:val="auto"/>
          <w:sz w:val="22"/>
          <w:szCs w:val="22"/>
        </w:rPr>
        <w:t xml:space="preserve"> </w:t>
      </w:r>
    </w:p>
    <w:p w14:paraId="28E2FF59" w14:textId="13DF0302" w:rsidR="00CD38E1" w:rsidRPr="00B20974" w:rsidRDefault="00BC1550" w:rsidP="00B34CA0">
      <w:pPr>
        <w:pStyle w:val="PlainText"/>
        <w:rPr>
          <w:rFonts w:asciiTheme="minorHAnsi" w:hAnsiTheme="minorHAnsi"/>
          <w:szCs w:val="22"/>
        </w:rPr>
      </w:pPr>
      <w:r w:rsidRPr="00B20974">
        <w:rPr>
          <w:rFonts w:asciiTheme="minorHAnsi" w:hAnsiTheme="minorHAnsi"/>
          <w:b/>
          <w:szCs w:val="22"/>
        </w:rPr>
        <w:t>Comment</w:t>
      </w:r>
      <w:r w:rsidR="00EC3902" w:rsidRPr="00B20974">
        <w:rPr>
          <w:rFonts w:asciiTheme="minorHAnsi" w:hAnsiTheme="minorHAnsi"/>
          <w:b/>
          <w:szCs w:val="22"/>
        </w:rPr>
        <w:t xml:space="preserve"> 1</w:t>
      </w:r>
      <w:r w:rsidRPr="00B20974">
        <w:rPr>
          <w:rFonts w:asciiTheme="minorHAnsi" w:hAnsiTheme="minorHAnsi"/>
          <w:szCs w:val="22"/>
        </w:rPr>
        <w:t xml:space="preserve">:  </w:t>
      </w:r>
      <w:r w:rsidR="00CD38E1" w:rsidRPr="00B20974">
        <w:rPr>
          <w:rFonts w:asciiTheme="minorHAnsi" w:hAnsiTheme="minorHAnsi"/>
          <w:szCs w:val="22"/>
        </w:rPr>
        <w:t>the best and most efficient use of existing grade 1 and 2 agricultural land should be for no change of use. The country requires greater food security and reduction in ‘food miles’. Turning good farming land over to housing estates make no sense.</w:t>
      </w:r>
      <w:r w:rsidR="00C801C3" w:rsidRPr="00B20974">
        <w:rPr>
          <w:rFonts w:asciiTheme="minorHAnsi" w:hAnsiTheme="minorHAnsi"/>
          <w:szCs w:val="22"/>
        </w:rPr>
        <w:t xml:space="preserve"> Two of CDC</w:t>
      </w:r>
      <w:r w:rsidR="00BC61C1" w:rsidRPr="00B20974">
        <w:rPr>
          <w:rFonts w:asciiTheme="minorHAnsi" w:hAnsiTheme="minorHAnsi"/>
          <w:szCs w:val="22"/>
        </w:rPr>
        <w:t>’s</w:t>
      </w:r>
      <w:r w:rsidR="00C801C3" w:rsidRPr="00B20974">
        <w:rPr>
          <w:rFonts w:asciiTheme="minorHAnsi" w:hAnsiTheme="minorHAnsi"/>
          <w:szCs w:val="22"/>
        </w:rPr>
        <w:t xml:space="preserve"> strategic land allocation proposals breach this principle</w:t>
      </w:r>
      <w:r w:rsidR="00BC61C1" w:rsidRPr="00B20974">
        <w:rPr>
          <w:rFonts w:asciiTheme="minorHAnsi" w:hAnsiTheme="minorHAnsi"/>
          <w:szCs w:val="22"/>
        </w:rPr>
        <w:t>.</w:t>
      </w:r>
    </w:p>
    <w:p w14:paraId="7EF4DA18" w14:textId="37FE6D62" w:rsidR="00BC1550" w:rsidRPr="00B20974" w:rsidRDefault="00CD38E1" w:rsidP="00B34CA0">
      <w:pPr>
        <w:pStyle w:val="PlainText"/>
        <w:rPr>
          <w:rFonts w:asciiTheme="minorHAnsi" w:hAnsiTheme="minorHAnsi"/>
          <w:szCs w:val="22"/>
        </w:rPr>
      </w:pPr>
      <w:r w:rsidRPr="00B20974">
        <w:rPr>
          <w:rFonts w:asciiTheme="minorHAnsi" w:hAnsiTheme="minorHAnsi"/>
          <w:b/>
          <w:szCs w:val="22"/>
        </w:rPr>
        <w:t>Comment 2</w:t>
      </w:r>
      <w:r w:rsidRPr="00B20974">
        <w:rPr>
          <w:rFonts w:asciiTheme="minorHAnsi" w:hAnsiTheme="minorHAnsi"/>
          <w:szCs w:val="22"/>
        </w:rPr>
        <w:t xml:space="preserve">: </w:t>
      </w:r>
      <w:r w:rsidR="00BC1550" w:rsidRPr="00B20974">
        <w:rPr>
          <w:rFonts w:asciiTheme="minorHAnsi" w:hAnsiTheme="minorHAnsi"/>
          <w:szCs w:val="22"/>
        </w:rPr>
        <w:t>we do not object to higher densities in principle if it means using brown field</w:t>
      </w:r>
      <w:r w:rsidR="00485A73">
        <w:rPr>
          <w:rFonts w:asciiTheme="minorHAnsi" w:hAnsiTheme="minorHAnsi"/>
          <w:szCs w:val="22"/>
        </w:rPr>
        <w:t>, derelict or abandoned</w:t>
      </w:r>
      <w:r w:rsidR="00BC1550" w:rsidRPr="00B20974">
        <w:rPr>
          <w:rFonts w:asciiTheme="minorHAnsi" w:hAnsiTheme="minorHAnsi"/>
          <w:szCs w:val="22"/>
        </w:rPr>
        <w:t xml:space="preserve"> sites rather than green fields, building close to city or village centres in small developments, building small units as starters for young people or downsizes for elderly. We do object if it means cramming more identikit houses on to green field sites.</w:t>
      </w:r>
    </w:p>
    <w:p w14:paraId="4B9C74D1" w14:textId="77777777" w:rsidR="000056A7" w:rsidRPr="00B20974" w:rsidRDefault="000056A7" w:rsidP="00B34CA0">
      <w:pPr>
        <w:pStyle w:val="PlainText"/>
        <w:rPr>
          <w:rFonts w:asciiTheme="minorHAnsi" w:hAnsiTheme="minorHAnsi"/>
          <w:szCs w:val="22"/>
        </w:rPr>
      </w:pPr>
    </w:p>
    <w:p w14:paraId="5B4FC56F" w14:textId="192CF949" w:rsidR="003330BE" w:rsidRPr="00B20974" w:rsidRDefault="003330BE" w:rsidP="003330BE">
      <w:pPr>
        <w:pStyle w:val="Default"/>
        <w:rPr>
          <w:rFonts w:asciiTheme="minorHAnsi" w:hAnsiTheme="minorHAnsi"/>
          <w:color w:val="auto"/>
          <w:sz w:val="22"/>
          <w:szCs w:val="22"/>
        </w:rPr>
      </w:pPr>
      <w:r w:rsidRPr="00B20974">
        <w:rPr>
          <w:rFonts w:asciiTheme="minorHAnsi" w:hAnsiTheme="minorHAnsi"/>
          <w:color w:val="auto"/>
          <w:sz w:val="22"/>
          <w:szCs w:val="22"/>
          <w:highlight w:val="yellow"/>
        </w:rPr>
        <w:t>(</w:t>
      </w:r>
      <w:r w:rsidR="00BC1550" w:rsidRPr="00B20974">
        <w:rPr>
          <w:rFonts w:asciiTheme="minorHAnsi" w:hAnsiTheme="minorHAnsi"/>
          <w:color w:val="auto"/>
          <w:sz w:val="22"/>
          <w:szCs w:val="22"/>
          <w:highlight w:val="yellow"/>
        </w:rPr>
        <w:t>6.2</w:t>
      </w:r>
      <w:r w:rsidRPr="00B20974">
        <w:rPr>
          <w:rFonts w:asciiTheme="minorHAnsi" w:hAnsiTheme="minorHAnsi"/>
          <w:color w:val="auto"/>
          <w:sz w:val="22"/>
          <w:szCs w:val="22"/>
          <w:highlight w:val="yellow"/>
        </w:rPr>
        <w:t>) 5 Proposals should demonstrate consideration of the impact of development on the surrounding townscape and landscape character, including the South Downs National Park and the Chichester Harbour AONB and their settings. Development should be designed to protect long-distance views and intervisibility between the South Downs National Park and the Chichester Harbour AONB.</w:t>
      </w:r>
      <w:r w:rsidRPr="00B20974">
        <w:rPr>
          <w:rFonts w:asciiTheme="minorHAnsi" w:hAnsiTheme="minorHAnsi"/>
          <w:color w:val="auto"/>
          <w:sz w:val="22"/>
          <w:szCs w:val="22"/>
        </w:rPr>
        <w:t xml:space="preserve"> </w:t>
      </w:r>
    </w:p>
    <w:p w14:paraId="2E0D46EA" w14:textId="4206A2F4" w:rsidR="00BC1550" w:rsidRPr="00B20974" w:rsidRDefault="00BC1550" w:rsidP="00B34CA0">
      <w:pPr>
        <w:pStyle w:val="PlainText"/>
        <w:rPr>
          <w:rFonts w:asciiTheme="minorHAnsi" w:hAnsiTheme="minorHAnsi"/>
          <w:szCs w:val="22"/>
        </w:rPr>
      </w:pPr>
      <w:r w:rsidRPr="00B20974">
        <w:rPr>
          <w:rFonts w:asciiTheme="minorHAnsi" w:hAnsiTheme="minorHAnsi"/>
          <w:b/>
          <w:szCs w:val="22"/>
        </w:rPr>
        <w:lastRenderedPageBreak/>
        <w:t>Comment</w:t>
      </w:r>
      <w:r w:rsidR="003330BE" w:rsidRPr="00B20974">
        <w:rPr>
          <w:rFonts w:asciiTheme="minorHAnsi" w:hAnsiTheme="minorHAnsi"/>
          <w:b/>
          <w:szCs w:val="22"/>
        </w:rPr>
        <w:t xml:space="preserve"> 1</w:t>
      </w:r>
      <w:r w:rsidRPr="00B20974">
        <w:rPr>
          <w:rFonts w:asciiTheme="minorHAnsi" w:hAnsiTheme="minorHAnsi"/>
          <w:szCs w:val="22"/>
        </w:rPr>
        <w:t xml:space="preserve">:  </w:t>
      </w:r>
      <w:r w:rsidR="000056A7" w:rsidRPr="00B20974">
        <w:rPr>
          <w:rFonts w:asciiTheme="minorHAnsi" w:hAnsiTheme="minorHAnsi"/>
          <w:szCs w:val="22"/>
        </w:rPr>
        <w:t>Bosham and</w:t>
      </w:r>
      <w:r w:rsidRPr="00B20974">
        <w:rPr>
          <w:rFonts w:asciiTheme="minorHAnsi" w:hAnsiTheme="minorHAnsi"/>
          <w:szCs w:val="22"/>
        </w:rPr>
        <w:t xml:space="preserve"> in particular Highgrove field (AL7) lies in a narrow gap between the SDNP and CHAONB. From the Downs you can look out towards the Harbour and from the Harbour you can see </w:t>
      </w:r>
      <w:proofErr w:type="spellStart"/>
      <w:r w:rsidRPr="00B20974">
        <w:rPr>
          <w:rFonts w:asciiTheme="minorHAnsi" w:hAnsiTheme="minorHAnsi"/>
          <w:szCs w:val="22"/>
        </w:rPr>
        <w:t>Kingley</w:t>
      </w:r>
      <w:proofErr w:type="spellEnd"/>
      <w:r w:rsidRPr="00B20974">
        <w:rPr>
          <w:rFonts w:asciiTheme="minorHAnsi" w:hAnsiTheme="minorHAnsi"/>
          <w:szCs w:val="22"/>
        </w:rPr>
        <w:t xml:space="preserve"> Vale. Development on this site would greatly compromise this landscape</w:t>
      </w:r>
      <w:r w:rsidR="006F4128">
        <w:rPr>
          <w:rStyle w:val="FootnoteReference"/>
          <w:rFonts w:asciiTheme="minorHAnsi" w:hAnsiTheme="minorHAnsi"/>
          <w:szCs w:val="22"/>
        </w:rPr>
        <w:footnoteReference w:id="14"/>
      </w:r>
      <w:r w:rsidRPr="00B20974">
        <w:rPr>
          <w:rFonts w:asciiTheme="minorHAnsi" w:hAnsiTheme="minorHAnsi"/>
          <w:szCs w:val="22"/>
        </w:rPr>
        <w:t>.</w:t>
      </w:r>
    </w:p>
    <w:p w14:paraId="4E664A29" w14:textId="77777777" w:rsidR="00BC1550" w:rsidRPr="00B20974" w:rsidRDefault="00BC1550" w:rsidP="00B34CA0">
      <w:pPr>
        <w:pStyle w:val="PlainText"/>
        <w:rPr>
          <w:rFonts w:asciiTheme="minorHAnsi" w:hAnsiTheme="minorHAnsi"/>
          <w:szCs w:val="22"/>
        </w:rPr>
      </w:pPr>
    </w:p>
    <w:p w14:paraId="0CC671B0" w14:textId="7AB34499" w:rsidR="00BC1550" w:rsidRPr="00B20974" w:rsidRDefault="00AE4AB9" w:rsidP="00AE4AB9">
      <w:pPr>
        <w:pStyle w:val="Default"/>
        <w:rPr>
          <w:rFonts w:asciiTheme="minorHAnsi" w:hAnsiTheme="minorHAnsi"/>
          <w:color w:val="auto"/>
          <w:sz w:val="22"/>
          <w:szCs w:val="22"/>
        </w:rPr>
      </w:pPr>
      <w:r w:rsidRPr="00B20974">
        <w:rPr>
          <w:rFonts w:asciiTheme="minorHAnsi" w:hAnsiTheme="minorHAnsi"/>
          <w:color w:val="auto"/>
          <w:sz w:val="22"/>
          <w:szCs w:val="22"/>
          <w:highlight w:val="yellow"/>
        </w:rPr>
        <w:t>(</w:t>
      </w:r>
      <w:r w:rsidR="00BC1550" w:rsidRPr="00B20974">
        <w:rPr>
          <w:rFonts w:asciiTheme="minorHAnsi" w:hAnsiTheme="minorHAnsi"/>
          <w:color w:val="auto"/>
          <w:sz w:val="22"/>
          <w:szCs w:val="22"/>
          <w:highlight w:val="yellow"/>
        </w:rPr>
        <w:t>6.2</w:t>
      </w:r>
      <w:r w:rsidRPr="00B20974">
        <w:rPr>
          <w:rFonts w:asciiTheme="minorHAnsi" w:hAnsiTheme="minorHAnsi"/>
          <w:color w:val="auto"/>
          <w:sz w:val="22"/>
          <w:szCs w:val="22"/>
          <w:highlight w:val="yellow"/>
        </w:rPr>
        <w:t>) 6. Development proposals in or adjacent to areas identified as potential Strategic Wildlife Corridors as identified in the Strategic Wildlife Corridors Background Paper should demonstrate that they will not affect the potential or value of the wildlife corridor.</w:t>
      </w:r>
      <w:r w:rsidRPr="00B20974">
        <w:rPr>
          <w:rFonts w:asciiTheme="minorHAnsi" w:hAnsiTheme="minorHAnsi"/>
          <w:color w:val="auto"/>
          <w:sz w:val="22"/>
          <w:szCs w:val="22"/>
        </w:rPr>
        <w:t xml:space="preserve"> </w:t>
      </w:r>
    </w:p>
    <w:p w14:paraId="34041819" w14:textId="6E0E7B23" w:rsidR="00BC1550" w:rsidRPr="00B20974" w:rsidRDefault="00BC1550" w:rsidP="00B34CA0">
      <w:pPr>
        <w:pStyle w:val="PlainText"/>
        <w:rPr>
          <w:rFonts w:asciiTheme="minorHAnsi" w:hAnsiTheme="minorHAnsi"/>
          <w:szCs w:val="22"/>
        </w:rPr>
      </w:pPr>
      <w:r w:rsidRPr="00B20974">
        <w:rPr>
          <w:rFonts w:asciiTheme="minorHAnsi" w:hAnsiTheme="minorHAnsi"/>
          <w:b/>
          <w:szCs w:val="22"/>
        </w:rPr>
        <w:t>Comment</w:t>
      </w:r>
      <w:r w:rsidR="00AE4AB9" w:rsidRPr="00B20974">
        <w:rPr>
          <w:rFonts w:asciiTheme="minorHAnsi" w:hAnsiTheme="minorHAnsi"/>
          <w:b/>
          <w:szCs w:val="22"/>
        </w:rPr>
        <w:t xml:space="preserve"> 1</w:t>
      </w:r>
      <w:r w:rsidRPr="00B20974">
        <w:rPr>
          <w:rFonts w:asciiTheme="minorHAnsi" w:hAnsiTheme="minorHAnsi"/>
          <w:b/>
          <w:szCs w:val="22"/>
        </w:rPr>
        <w:t>:</w:t>
      </w:r>
      <w:r w:rsidRPr="00B20974">
        <w:rPr>
          <w:rFonts w:asciiTheme="minorHAnsi" w:hAnsiTheme="minorHAnsi"/>
          <w:szCs w:val="22"/>
        </w:rPr>
        <w:t xml:space="preserve"> Wildlife connectivity between the SDNP and </w:t>
      </w:r>
      <w:proofErr w:type="gramStart"/>
      <w:r w:rsidRPr="00B20974">
        <w:rPr>
          <w:rFonts w:asciiTheme="minorHAnsi" w:hAnsiTheme="minorHAnsi"/>
          <w:szCs w:val="22"/>
        </w:rPr>
        <w:t>CHAONB  is</w:t>
      </w:r>
      <w:proofErr w:type="gramEnd"/>
      <w:r w:rsidRPr="00B20974">
        <w:rPr>
          <w:rFonts w:asciiTheme="minorHAnsi" w:hAnsiTheme="minorHAnsi"/>
          <w:szCs w:val="22"/>
        </w:rPr>
        <w:t xml:space="preserve"> both historic and essential for the survival of species. Survival of species is essential for the survival of humankind. Thousands of species have been driven to extinction by human activity and a million or more are under threat.  Wildlife corridors are the very least that we must protect in our area. Present plans are firstly, too few. The </w:t>
      </w:r>
      <w:proofErr w:type="spellStart"/>
      <w:r w:rsidRPr="00B20974">
        <w:rPr>
          <w:rFonts w:asciiTheme="minorHAnsi" w:hAnsiTheme="minorHAnsi"/>
          <w:szCs w:val="22"/>
        </w:rPr>
        <w:t>Newells</w:t>
      </w:r>
      <w:proofErr w:type="spellEnd"/>
      <w:r w:rsidRPr="00B20974">
        <w:rPr>
          <w:rFonts w:asciiTheme="minorHAnsi" w:hAnsiTheme="minorHAnsi"/>
          <w:szCs w:val="22"/>
        </w:rPr>
        <w:t xml:space="preserve"> Lane chalk stream has been omitted altogether. Chalk streams are rare. There are only 210 chalk streams world-wide and 160 of these are in England. They have been described as 'England's unique contribution to global ecology'. Here, flowing down from the South Downs are five of them. They are </w:t>
      </w:r>
      <w:r w:rsidR="00AE4AB9" w:rsidRPr="00B20974">
        <w:rPr>
          <w:rFonts w:asciiTheme="minorHAnsi" w:hAnsiTheme="minorHAnsi"/>
          <w:szCs w:val="22"/>
        </w:rPr>
        <w:t>precious for</w:t>
      </w:r>
      <w:r w:rsidRPr="00B20974">
        <w:rPr>
          <w:rFonts w:asciiTheme="minorHAnsi" w:hAnsiTheme="minorHAnsi"/>
          <w:szCs w:val="22"/>
        </w:rPr>
        <w:t xml:space="preserve"> wildlife and provide vital wildlife corridors. All should be included in CDC's plan. </w:t>
      </w:r>
    </w:p>
    <w:p w14:paraId="1C1D428A" w14:textId="37883CF1" w:rsidR="00BC1550" w:rsidRPr="00B20974" w:rsidRDefault="00AE4AB9" w:rsidP="00B34CA0">
      <w:pPr>
        <w:pStyle w:val="PlainText"/>
        <w:rPr>
          <w:rFonts w:asciiTheme="minorHAnsi" w:hAnsiTheme="minorHAnsi"/>
          <w:szCs w:val="22"/>
        </w:rPr>
      </w:pPr>
      <w:r w:rsidRPr="00B20974">
        <w:rPr>
          <w:rFonts w:asciiTheme="minorHAnsi" w:hAnsiTheme="minorHAnsi"/>
          <w:b/>
          <w:szCs w:val="22"/>
        </w:rPr>
        <w:t>Comment 2</w:t>
      </w:r>
      <w:r w:rsidRPr="00B20974">
        <w:rPr>
          <w:rFonts w:asciiTheme="minorHAnsi" w:hAnsiTheme="minorHAnsi"/>
          <w:szCs w:val="22"/>
        </w:rPr>
        <w:t xml:space="preserve">: </w:t>
      </w:r>
      <w:r w:rsidR="00BC1550" w:rsidRPr="00B20974">
        <w:rPr>
          <w:rFonts w:asciiTheme="minorHAnsi" w:hAnsiTheme="minorHAnsi"/>
          <w:szCs w:val="22"/>
        </w:rPr>
        <w:t xml:space="preserve"> wildlife corridors need to be wide enough and connect with both streams and hedgerows. The CDC's plan to provide only a 200m buffer zone around their proposed wildlife corridors is not enough. Given that the SDN</w:t>
      </w:r>
      <w:r w:rsidRPr="00B20974">
        <w:rPr>
          <w:rFonts w:asciiTheme="minorHAnsi" w:hAnsiTheme="minorHAnsi"/>
          <w:szCs w:val="22"/>
        </w:rPr>
        <w:t>P</w:t>
      </w:r>
      <w:r w:rsidR="00BC1550" w:rsidRPr="00B20974">
        <w:rPr>
          <w:rFonts w:asciiTheme="minorHAnsi" w:hAnsiTheme="minorHAnsi"/>
          <w:szCs w:val="22"/>
        </w:rPr>
        <w:t xml:space="preserve"> and the </w:t>
      </w:r>
      <w:r w:rsidR="00CD2CC6" w:rsidRPr="00B20974">
        <w:rPr>
          <w:rFonts w:asciiTheme="minorHAnsi" w:hAnsiTheme="minorHAnsi"/>
          <w:szCs w:val="22"/>
        </w:rPr>
        <w:t>CHAONB have</w:t>
      </w:r>
      <w:r w:rsidR="00BC1550" w:rsidRPr="00B20974">
        <w:rPr>
          <w:rFonts w:asciiTheme="minorHAnsi" w:hAnsiTheme="minorHAnsi"/>
          <w:szCs w:val="22"/>
        </w:rPr>
        <w:t xml:space="preserve"> nationally significant status for environmental protection, linking these sites is of national significance (Glover Review). The scale of protection therefore should be on the Regional Scale of 500m and not the local scale of 200m. Effectively this means that undeveloped land west of Chichester should be safeguarded from further development.</w:t>
      </w:r>
    </w:p>
    <w:p w14:paraId="71E8CE1A" w14:textId="63F7B7B1" w:rsidR="00A762C0" w:rsidRPr="00B20974" w:rsidRDefault="00082733" w:rsidP="001075F3">
      <w:pPr>
        <w:pStyle w:val="PlainText"/>
        <w:rPr>
          <w:rFonts w:asciiTheme="minorHAnsi" w:hAnsiTheme="minorHAnsi"/>
          <w:szCs w:val="22"/>
        </w:rPr>
      </w:pPr>
      <w:r w:rsidRPr="00B20974">
        <w:rPr>
          <w:rFonts w:asciiTheme="minorHAnsi" w:hAnsiTheme="minorHAnsi"/>
          <w:b/>
          <w:szCs w:val="22"/>
        </w:rPr>
        <w:t>Comment 3</w:t>
      </w:r>
      <w:r w:rsidRPr="00B20974">
        <w:rPr>
          <w:rFonts w:asciiTheme="minorHAnsi" w:hAnsiTheme="minorHAnsi"/>
          <w:szCs w:val="22"/>
        </w:rPr>
        <w:t>:</w:t>
      </w:r>
      <w:r w:rsidR="00BC1550" w:rsidRPr="00B20974">
        <w:rPr>
          <w:rFonts w:asciiTheme="minorHAnsi" w:hAnsiTheme="minorHAnsi"/>
          <w:szCs w:val="22"/>
        </w:rPr>
        <w:t xml:space="preserve"> </w:t>
      </w:r>
      <w:r w:rsidRPr="00B20974">
        <w:rPr>
          <w:rFonts w:asciiTheme="minorHAnsi" w:hAnsiTheme="minorHAnsi"/>
          <w:szCs w:val="22"/>
        </w:rPr>
        <w:t>unfortunately,</w:t>
      </w:r>
      <w:r w:rsidR="00BC1550" w:rsidRPr="00B20974">
        <w:rPr>
          <w:rFonts w:asciiTheme="minorHAnsi" w:hAnsiTheme="minorHAnsi"/>
          <w:szCs w:val="22"/>
        </w:rPr>
        <w:t xml:space="preserve"> wild life does not confine itself to protected areas so to genuinely protect wildlife a larger adjacent zone is required. The U.K. Report on Biodiversity sates that, ' the land around the core (protected) site needs to be under sympathetic land management practices'. The importance of the outlying areas between the SDNP and </w:t>
      </w:r>
      <w:r w:rsidRPr="00B20974">
        <w:rPr>
          <w:rFonts w:asciiTheme="minorHAnsi" w:hAnsiTheme="minorHAnsi"/>
          <w:szCs w:val="22"/>
        </w:rPr>
        <w:t>CHAONB have</w:t>
      </w:r>
      <w:r w:rsidR="00BC1550" w:rsidRPr="00B20974">
        <w:rPr>
          <w:rFonts w:asciiTheme="minorHAnsi" w:hAnsiTheme="minorHAnsi"/>
          <w:szCs w:val="22"/>
        </w:rPr>
        <w:t xml:space="preserve"> been documented by the Sussex Biodiversity Research Centre, which </w:t>
      </w:r>
      <w:r w:rsidRPr="00B20974">
        <w:rPr>
          <w:rFonts w:asciiTheme="minorHAnsi" w:hAnsiTheme="minorHAnsi"/>
          <w:szCs w:val="22"/>
        </w:rPr>
        <w:t xml:space="preserve">records </w:t>
      </w:r>
      <w:r w:rsidR="00BC1550" w:rsidRPr="00B20974">
        <w:rPr>
          <w:rFonts w:asciiTheme="minorHAnsi" w:hAnsiTheme="minorHAnsi"/>
          <w:szCs w:val="22"/>
        </w:rPr>
        <w:t>bat flights</w:t>
      </w:r>
      <w:r w:rsidRPr="00B20974">
        <w:rPr>
          <w:rFonts w:asciiTheme="minorHAnsi" w:hAnsiTheme="minorHAnsi"/>
          <w:szCs w:val="22"/>
        </w:rPr>
        <w:t xml:space="preserve"> and</w:t>
      </w:r>
      <w:r w:rsidR="00BC1550" w:rsidRPr="00B20974">
        <w:rPr>
          <w:rFonts w:asciiTheme="minorHAnsi" w:hAnsiTheme="minorHAnsi"/>
          <w:szCs w:val="22"/>
        </w:rPr>
        <w:t xml:space="preserve"> barn owl connections between habitats, linkages between Downs and wetlands, and records all species si</w:t>
      </w:r>
      <w:r w:rsidRPr="00B20974">
        <w:rPr>
          <w:rFonts w:asciiTheme="minorHAnsi" w:hAnsiTheme="minorHAnsi"/>
          <w:szCs w:val="22"/>
        </w:rPr>
        <w:t>gh</w:t>
      </w:r>
      <w:r w:rsidR="00BC1550" w:rsidRPr="00B20974">
        <w:rPr>
          <w:rFonts w:asciiTheme="minorHAnsi" w:hAnsiTheme="minorHAnsi"/>
          <w:szCs w:val="22"/>
        </w:rPr>
        <w:t>ted. Highgrove field has been shown to be an integral buffer zone for wildlife movement, where over 100 species have been recorded.</w:t>
      </w:r>
    </w:p>
    <w:p w14:paraId="54DBE72A" w14:textId="43D05DDC" w:rsidR="00BC1550" w:rsidRPr="00B20974" w:rsidRDefault="001075F3" w:rsidP="000056A7">
      <w:pPr>
        <w:pStyle w:val="NormalWeb"/>
        <w:spacing w:before="0" w:beforeAutospacing="0" w:after="0" w:afterAutospacing="0"/>
        <w:rPr>
          <w:rFonts w:asciiTheme="minorHAnsi" w:hAnsiTheme="minorHAnsi" w:cs="Arial"/>
          <w:sz w:val="22"/>
          <w:szCs w:val="22"/>
        </w:rPr>
      </w:pPr>
      <w:r w:rsidRPr="00B20974">
        <w:rPr>
          <w:rFonts w:asciiTheme="minorHAnsi" w:hAnsiTheme="minorHAnsi" w:cs="Arial"/>
          <w:b/>
          <w:sz w:val="22"/>
          <w:szCs w:val="22"/>
        </w:rPr>
        <w:t>Comment 4</w:t>
      </w:r>
      <w:r w:rsidRPr="00B20974">
        <w:rPr>
          <w:rFonts w:asciiTheme="minorHAnsi" w:hAnsiTheme="minorHAnsi" w:cs="Arial"/>
          <w:sz w:val="22"/>
          <w:szCs w:val="22"/>
        </w:rPr>
        <w:t>: The designation of additional corridors should acknowledge the contribution made by existing bridges, culverts and wildlife crossing points of the A27, the South Coast main railway line and the A259. Without this we would expect further habitat fragmentation and reduced species gene pool.</w:t>
      </w:r>
      <w:r w:rsidR="000056A7" w:rsidRPr="00B20974">
        <w:rPr>
          <w:rStyle w:val="FootnoteReference"/>
          <w:rFonts w:asciiTheme="minorHAnsi" w:hAnsiTheme="minorHAnsi" w:cs="Arial"/>
          <w:sz w:val="22"/>
          <w:szCs w:val="22"/>
        </w:rPr>
        <w:footnoteReference w:id="15"/>
      </w:r>
      <w:r w:rsidR="000056A7" w:rsidRPr="00B20974">
        <w:rPr>
          <w:rFonts w:asciiTheme="minorHAnsi" w:hAnsiTheme="minorHAnsi" w:cs="Arial"/>
          <w:sz w:val="22"/>
          <w:szCs w:val="22"/>
        </w:rPr>
        <w:t xml:space="preserve"> </w:t>
      </w:r>
      <w:r w:rsidR="000056A7" w:rsidRPr="00B20974">
        <w:rPr>
          <w:rStyle w:val="FootnoteReference"/>
          <w:rFonts w:asciiTheme="minorHAnsi" w:hAnsiTheme="minorHAnsi" w:cs="Arial"/>
          <w:sz w:val="22"/>
          <w:szCs w:val="22"/>
        </w:rPr>
        <w:footnoteReference w:id="16"/>
      </w:r>
    </w:p>
    <w:p w14:paraId="5721F7EA" w14:textId="0D9F0338" w:rsidR="00157F81" w:rsidRPr="00B20974" w:rsidRDefault="002961F8" w:rsidP="00157F81">
      <w:pPr>
        <w:pStyle w:val="NormalWeb"/>
        <w:spacing w:before="0" w:beforeAutospacing="0" w:after="0" w:afterAutospacing="0"/>
        <w:rPr>
          <w:rFonts w:asciiTheme="minorHAnsi" w:hAnsiTheme="minorHAnsi" w:cs="Arial"/>
          <w:sz w:val="22"/>
          <w:szCs w:val="22"/>
        </w:rPr>
      </w:pPr>
      <w:r w:rsidRPr="00B20974">
        <w:rPr>
          <w:rFonts w:asciiTheme="minorHAnsi" w:hAnsiTheme="minorHAnsi" w:cs="Arial"/>
          <w:b/>
          <w:sz w:val="22"/>
          <w:szCs w:val="22"/>
        </w:rPr>
        <w:t>Comment 5:</w:t>
      </w:r>
      <w:r w:rsidR="00157F81" w:rsidRPr="00B20974">
        <w:rPr>
          <w:rFonts w:asciiTheme="minorHAnsi" w:hAnsiTheme="minorHAnsi" w:cs="Arial"/>
          <w:sz w:val="22"/>
          <w:szCs w:val="22"/>
        </w:rPr>
        <w:t xml:space="preserve"> Strategic Wildlife Corridors should include allowance for corridors allowing species to move between wetlands as sea levels rise. </w:t>
      </w:r>
      <w:r w:rsidR="00157F81" w:rsidRPr="00B20974">
        <w:rPr>
          <w:rFonts w:asciiTheme="minorHAnsi" w:hAnsiTheme="minorHAnsi" w:cs="Arial"/>
          <w:sz w:val="22"/>
          <w:szCs w:val="22"/>
          <w:shd w:val="clear" w:color="auto" w:fill="FFFFFF"/>
        </w:rPr>
        <w:t xml:space="preserve">Chichester district’s wetlands are of national and international importance both because of their biodiversity and their high capacity to absorb CO2. Sea level rise will result in coastal squeeze and loss of irreplaceable wetland without the ability for it </w:t>
      </w:r>
      <w:r w:rsidR="00157F81" w:rsidRPr="00B20974">
        <w:rPr>
          <w:rFonts w:asciiTheme="minorHAnsi" w:hAnsiTheme="minorHAnsi" w:cs="Arial"/>
          <w:sz w:val="22"/>
          <w:szCs w:val="22"/>
          <w:shd w:val="clear" w:color="auto" w:fill="FFFFFF"/>
        </w:rPr>
        <w:lastRenderedPageBreak/>
        <w:t>to move inland. Development adjacent or close to coastal and harbour settlements will exacerbate coastal squeeze and hinder the opportunity for species and settlement migration.</w:t>
      </w:r>
      <w:r w:rsidR="00157F81" w:rsidRPr="00B20974">
        <w:rPr>
          <w:rStyle w:val="FootnoteReference"/>
          <w:rFonts w:asciiTheme="minorHAnsi" w:hAnsiTheme="minorHAnsi" w:cs="Arial"/>
          <w:sz w:val="22"/>
          <w:szCs w:val="22"/>
          <w:shd w:val="clear" w:color="auto" w:fill="FFFFFF"/>
        </w:rPr>
        <w:footnoteReference w:id="17"/>
      </w:r>
      <w:r w:rsidR="00157F81" w:rsidRPr="00B20974">
        <w:rPr>
          <w:rFonts w:asciiTheme="minorHAnsi" w:hAnsiTheme="minorHAnsi" w:cs="Arial"/>
          <w:sz w:val="22"/>
          <w:szCs w:val="22"/>
          <w:shd w:val="clear" w:color="auto" w:fill="FFFFFF"/>
        </w:rPr>
        <w:t xml:space="preserve">   </w:t>
      </w:r>
    </w:p>
    <w:p w14:paraId="7AB0E745" w14:textId="0096BF33" w:rsidR="002961F8" w:rsidRPr="00B20974" w:rsidRDefault="002961F8" w:rsidP="002961F8">
      <w:pPr>
        <w:pStyle w:val="Default"/>
        <w:rPr>
          <w:rFonts w:asciiTheme="minorHAnsi" w:hAnsiTheme="minorHAnsi"/>
          <w:color w:val="auto"/>
          <w:sz w:val="22"/>
          <w:szCs w:val="22"/>
          <w:highlight w:val="yellow"/>
        </w:rPr>
      </w:pPr>
    </w:p>
    <w:p w14:paraId="3118011F" w14:textId="353CDB2C" w:rsidR="004D7636" w:rsidRPr="00B20974" w:rsidRDefault="004D7636" w:rsidP="002961F8">
      <w:pPr>
        <w:pStyle w:val="Default"/>
        <w:rPr>
          <w:rFonts w:asciiTheme="minorHAnsi" w:hAnsiTheme="minorHAnsi"/>
          <w:color w:val="auto"/>
          <w:sz w:val="22"/>
          <w:szCs w:val="22"/>
        </w:rPr>
      </w:pPr>
      <w:r w:rsidRPr="00B20974">
        <w:rPr>
          <w:rFonts w:asciiTheme="minorHAnsi" w:hAnsiTheme="minorHAnsi"/>
          <w:color w:val="auto"/>
          <w:sz w:val="22"/>
          <w:szCs w:val="22"/>
          <w:highlight w:val="yellow"/>
        </w:rPr>
        <w:t>(</w:t>
      </w:r>
      <w:r w:rsidR="00BC1550" w:rsidRPr="00B20974">
        <w:rPr>
          <w:rFonts w:asciiTheme="minorHAnsi" w:hAnsiTheme="minorHAnsi"/>
          <w:color w:val="auto"/>
          <w:sz w:val="22"/>
          <w:szCs w:val="22"/>
          <w:highlight w:val="yellow"/>
        </w:rPr>
        <w:t>6.2</w:t>
      </w:r>
      <w:r w:rsidRPr="00B20974">
        <w:rPr>
          <w:rFonts w:asciiTheme="minorHAnsi" w:hAnsiTheme="minorHAnsi"/>
          <w:color w:val="auto"/>
          <w:sz w:val="22"/>
          <w:szCs w:val="22"/>
          <w:highlight w:val="yellow"/>
        </w:rPr>
        <w:t>) 7. Development proposals should set out how necessary infrastructure will be secured, including, for example: wastewater conveyance and treatment, affordable housing, open space, and highways improvements.</w:t>
      </w:r>
      <w:r w:rsidRPr="00B20974">
        <w:rPr>
          <w:rFonts w:asciiTheme="minorHAnsi" w:hAnsiTheme="minorHAnsi"/>
          <w:color w:val="auto"/>
          <w:sz w:val="22"/>
          <w:szCs w:val="22"/>
        </w:rPr>
        <w:t xml:space="preserve"> </w:t>
      </w:r>
    </w:p>
    <w:p w14:paraId="077B91A4" w14:textId="0F513AD8" w:rsidR="00BC1550" w:rsidRPr="00B20974" w:rsidRDefault="00BC1550" w:rsidP="004D7636">
      <w:pPr>
        <w:pStyle w:val="PlainText"/>
        <w:rPr>
          <w:rFonts w:asciiTheme="minorHAnsi" w:hAnsiTheme="minorHAnsi"/>
          <w:szCs w:val="22"/>
        </w:rPr>
      </w:pPr>
      <w:r w:rsidRPr="00B20974">
        <w:rPr>
          <w:rFonts w:asciiTheme="minorHAnsi" w:hAnsiTheme="minorHAnsi"/>
          <w:b/>
          <w:szCs w:val="22"/>
        </w:rPr>
        <w:t>Comment</w:t>
      </w:r>
      <w:r w:rsidR="004D7636" w:rsidRPr="00B20974">
        <w:rPr>
          <w:rFonts w:asciiTheme="minorHAnsi" w:hAnsiTheme="minorHAnsi"/>
          <w:b/>
          <w:szCs w:val="22"/>
        </w:rPr>
        <w:t xml:space="preserve"> </w:t>
      </w:r>
      <w:r w:rsidRPr="00B20974">
        <w:rPr>
          <w:rFonts w:asciiTheme="minorHAnsi" w:hAnsiTheme="minorHAnsi"/>
          <w:b/>
          <w:szCs w:val="22"/>
        </w:rPr>
        <w:t>1</w:t>
      </w:r>
      <w:r w:rsidRPr="00B20974">
        <w:rPr>
          <w:rFonts w:asciiTheme="minorHAnsi" w:hAnsiTheme="minorHAnsi"/>
          <w:szCs w:val="22"/>
        </w:rPr>
        <w:t xml:space="preserve">: </w:t>
      </w:r>
      <w:r w:rsidR="004D7636" w:rsidRPr="00B20974">
        <w:rPr>
          <w:rFonts w:asciiTheme="minorHAnsi" w:hAnsiTheme="minorHAnsi"/>
          <w:szCs w:val="22"/>
        </w:rPr>
        <w:t>These a</w:t>
      </w:r>
      <w:r w:rsidRPr="00B20974">
        <w:rPr>
          <w:rFonts w:asciiTheme="minorHAnsi" w:hAnsiTheme="minorHAnsi"/>
          <w:szCs w:val="22"/>
        </w:rPr>
        <w:t>spects of infrastructure should be carried out prior to development</w:t>
      </w:r>
      <w:r w:rsidR="004D7636" w:rsidRPr="00B20974">
        <w:rPr>
          <w:rFonts w:asciiTheme="minorHAnsi" w:hAnsiTheme="minorHAnsi"/>
          <w:szCs w:val="22"/>
        </w:rPr>
        <w:t xml:space="preserve">, as too </w:t>
      </w:r>
      <w:r w:rsidR="00485A73">
        <w:rPr>
          <w:rFonts w:asciiTheme="minorHAnsi" w:hAnsiTheme="minorHAnsi"/>
          <w:szCs w:val="22"/>
        </w:rPr>
        <w:t xml:space="preserve">should </w:t>
      </w:r>
      <w:r w:rsidR="004D7636" w:rsidRPr="00B20974">
        <w:rPr>
          <w:rFonts w:asciiTheme="minorHAnsi" w:hAnsiTheme="minorHAnsi"/>
          <w:szCs w:val="22"/>
        </w:rPr>
        <w:t>cycle and footpath linkages and children’s play equipment.</w:t>
      </w:r>
      <w:r w:rsidR="00A9544D" w:rsidRPr="00B20974">
        <w:rPr>
          <w:rFonts w:asciiTheme="minorHAnsi" w:hAnsiTheme="minorHAnsi"/>
          <w:szCs w:val="22"/>
        </w:rPr>
        <w:t xml:space="preserve"> Promises to allocate space for community facilities should be accompanied by legal documents indicating that providers and maintainers of such facilities have a reasonable prospect of being delivered at the time of completion of the housing elements.</w:t>
      </w:r>
    </w:p>
    <w:p w14:paraId="7E2BBD8C" w14:textId="74B9CD19" w:rsidR="001711C2" w:rsidRPr="00B20974" w:rsidRDefault="00E87BB4" w:rsidP="001711C2">
      <w:pPr>
        <w:pStyle w:val="NormalWeb"/>
        <w:spacing w:before="0" w:beforeAutospacing="0" w:after="0" w:afterAutospacing="0"/>
        <w:rPr>
          <w:rFonts w:asciiTheme="minorHAnsi" w:hAnsiTheme="minorHAnsi" w:cs="Arial"/>
          <w:sz w:val="22"/>
          <w:szCs w:val="22"/>
        </w:rPr>
      </w:pPr>
      <w:r w:rsidRPr="00B20974">
        <w:rPr>
          <w:rFonts w:asciiTheme="minorHAnsi" w:hAnsiTheme="minorHAnsi" w:cs="Arial"/>
          <w:b/>
          <w:sz w:val="22"/>
          <w:szCs w:val="22"/>
        </w:rPr>
        <w:t>Comment 2:</w:t>
      </w:r>
      <w:r w:rsidRPr="00B20974">
        <w:rPr>
          <w:rFonts w:asciiTheme="minorHAnsi" w:hAnsiTheme="minorHAnsi" w:cs="Arial"/>
          <w:sz w:val="22"/>
          <w:szCs w:val="22"/>
        </w:rPr>
        <w:t xml:space="preserve"> </w:t>
      </w:r>
      <w:r w:rsidR="001711C2" w:rsidRPr="00B20974">
        <w:rPr>
          <w:rFonts w:asciiTheme="minorHAnsi" w:hAnsiTheme="minorHAnsi" w:cs="Arial"/>
          <w:sz w:val="22"/>
          <w:szCs w:val="22"/>
        </w:rPr>
        <w:t xml:space="preserve">Necessary infrastructure should include flood mitigation and flood defence infrastructure that will be required for the lifetime of the development. In the case of housing this should be for at least 50 years and ideally 100 years, in line with the Council’s declaration of a Climate Change Emergency and the Environment Agency’s and Committee for Climate Change’s recommendation for long term flood planning. </w:t>
      </w:r>
    </w:p>
    <w:p w14:paraId="2A8EF388" w14:textId="77777777" w:rsidR="00BC1550" w:rsidRPr="00B20974" w:rsidRDefault="00BC1550" w:rsidP="00B34CA0">
      <w:pPr>
        <w:pStyle w:val="PlainText"/>
        <w:rPr>
          <w:rFonts w:asciiTheme="minorHAnsi" w:hAnsiTheme="minorHAnsi"/>
          <w:szCs w:val="22"/>
        </w:rPr>
      </w:pPr>
    </w:p>
    <w:p w14:paraId="22C59CA2" w14:textId="37AC6C07" w:rsidR="00BC1550" w:rsidRPr="00B20974" w:rsidRDefault="006823F0" w:rsidP="002961F8">
      <w:pPr>
        <w:pStyle w:val="Default"/>
        <w:rPr>
          <w:rFonts w:asciiTheme="minorHAnsi" w:hAnsiTheme="minorHAnsi"/>
          <w:color w:val="auto"/>
          <w:sz w:val="22"/>
          <w:szCs w:val="22"/>
        </w:rPr>
      </w:pPr>
      <w:r w:rsidRPr="00B20974">
        <w:rPr>
          <w:rFonts w:asciiTheme="minorHAnsi" w:hAnsiTheme="minorHAnsi"/>
          <w:color w:val="auto"/>
          <w:sz w:val="22"/>
          <w:szCs w:val="22"/>
          <w:highlight w:val="yellow"/>
        </w:rPr>
        <w:t>(</w:t>
      </w:r>
      <w:r w:rsidR="00BC1550" w:rsidRPr="00B20974">
        <w:rPr>
          <w:rFonts w:asciiTheme="minorHAnsi" w:hAnsiTheme="minorHAnsi"/>
          <w:color w:val="auto"/>
          <w:sz w:val="22"/>
          <w:szCs w:val="22"/>
          <w:highlight w:val="yellow"/>
        </w:rPr>
        <w:t>6.2</w:t>
      </w:r>
      <w:r w:rsidRPr="00B20974">
        <w:rPr>
          <w:rFonts w:asciiTheme="minorHAnsi" w:hAnsiTheme="minorHAnsi"/>
          <w:color w:val="auto"/>
          <w:sz w:val="22"/>
          <w:szCs w:val="22"/>
          <w:highlight w:val="yellow"/>
        </w:rPr>
        <w:t xml:space="preserve">) </w:t>
      </w:r>
      <w:r w:rsidR="005266B7" w:rsidRPr="00B20974">
        <w:rPr>
          <w:rFonts w:asciiTheme="minorHAnsi" w:hAnsiTheme="minorHAnsi"/>
          <w:color w:val="auto"/>
          <w:sz w:val="22"/>
          <w:szCs w:val="22"/>
          <w:highlight w:val="yellow"/>
        </w:rPr>
        <w:t>8. Development proposals shall not compromise on environmental quality and should demonstrate high standards of construction in accordance with the Council’s declaration of a Climate Change Emergency. Applicants will be required to submit necessary detailed information within a Sustainability Statement or chapter within the Design and Access Statement to include, but not be limited to:</w:t>
      </w:r>
      <w:r w:rsidRPr="00B20974">
        <w:rPr>
          <w:rFonts w:asciiTheme="minorHAnsi" w:hAnsiTheme="minorHAnsi"/>
          <w:color w:val="auto"/>
          <w:sz w:val="22"/>
          <w:szCs w:val="22"/>
          <w:highlight w:val="yellow"/>
        </w:rPr>
        <w:t xml:space="preserve"> (list followed)</w:t>
      </w:r>
      <w:r w:rsidR="005266B7" w:rsidRPr="00B20974">
        <w:rPr>
          <w:rFonts w:asciiTheme="minorHAnsi" w:hAnsiTheme="minorHAnsi"/>
          <w:color w:val="auto"/>
          <w:sz w:val="22"/>
          <w:szCs w:val="22"/>
        </w:rPr>
        <w:t xml:space="preserve"> </w:t>
      </w:r>
    </w:p>
    <w:p w14:paraId="242EFD47" w14:textId="55C85232" w:rsidR="002961F8" w:rsidRPr="00B20974" w:rsidRDefault="00BC1550" w:rsidP="002961F8">
      <w:pPr>
        <w:ind w:right="-52"/>
        <w:rPr>
          <w:sz w:val="22"/>
          <w:szCs w:val="22"/>
        </w:rPr>
      </w:pPr>
      <w:r w:rsidRPr="00B20974">
        <w:rPr>
          <w:b/>
          <w:sz w:val="22"/>
          <w:szCs w:val="22"/>
        </w:rPr>
        <w:t>Comment 1</w:t>
      </w:r>
      <w:r w:rsidR="00B65F6E" w:rsidRPr="00B20974">
        <w:rPr>
          <w:sz w:val="22"/>
          <w:szCs w:val="22"/>
        </w:rPr>
        <w:t>:</w:t>
      </w:r>
      <w:r w:rsidRPr="00B20974">
        <w:rPr>
          <w:sz w:val="22"/>
          <w:szCs w:val="22"/>
        </w:rPr>
        <w:t xml:space="preserve">  Standards proposed for building should be aimed at being carbon neutral. </w:t>
      </w:r>
      <w:r w:rsidR="009E680F" w:rsidRPr="00B20974">
        <w:rPr>
          <w:sz w:val="22"/>
          <w:szCs w:val="22"/>
        </w:rPr>
        <w:t>L</w:t>
      </w:r>
      <w:r w:rsidRPr="00B20974">
        <w:rPr>
          <w:sz w:val="22"/>
          <w:szCs w:val="22"/>
        </w:rPr>
        <w:t>evel</w:t>
      </w:r>
      <w:r w:rsidR="009E680F" w:rsidRPr="00B20974">
        <w:rPr>
          <w:sz w:val="22"/>
          <w:szCs w:val="22"/>
        </w:rPr>
        <w:t>s being currently achieved</w:t>
      </w:r>
      <w:r w:rsidRPr="00B20974">
        <w:rPr>
          <w:sz w:val="22"/>
          <w:szCs w:val="22"/>
        </w:rPr>
        <w:t xml:space="preserve"> are too low</w:t>
      </w:r>
      <w:r w:rsidR="00103D4F" w:rsidRPr="00B20974">
        <w:rPr>
          <w:sz w:val="22"/>
          <w:szCs w:val="22"/>
        </w:rPr>
        <w:t xml:space="preserve"> at present</w:t>
      </w:r>
      <w:r w:rsidR="009E680F" w:rsidRPr="00B20974">
        <w:rPr>
          <w:rStyle w:val="FootnoteReference"/>
          <w:sz w:val="22"/>
          <w:szCs w:val="22"/>
        </w:rPr>
        <w:footnoteReference w:id="18"/>
      </w:r>
      <w:r w:rsidRPr="00B20974">
        <w:rPr>
          <w:sz w:val="22"/>
          <w:szCs w:val="22"/>
        </w:rPr>
        <w:t>. Items such as solar panels and water butts should be compulsory along with high standards of insulation.</w:t>
      </w:r>
      <w:r w:rsidR="00B65F6E" w:rsidRPr="00B20974">
        <w:rPr>
          <w:sz w:val="22"/>
          <w:szCs w:val="22"/>
        </w:rPr>
        <w:t xml:space="preserve"> As we move to the higher energy standards required by Part L 2020 and the Future Homes Standard, there may be no need for local authorities to seek higher standards and the power in the Planning and Energy Act 2008 may become redundant. </w:t>
      </w:r>
      <w:r w:rsidR="00046074" w:rsidRPr="00B20974">
        <w:rPr>
          <w:sz w:val="22"/>
          <w:szCs w:val="22"/>
        </w:rPr>
        <w:t>However,</w:t>
      </w:r>
      <w:r w:rsidR="00B65F6E" w:rsidRPr="00B20974">
        <w:rPr>
          <w:sz w:val="22"/>
          <w:szCs w:val="22"/>
        </w:rPr>
        <w:t xml:space="preserve"> in the meantime CDC should commit to requiring energy efficiency standards for new homes to be higher than the energy requirements of Level 4 of the Code for Sustainable Homes (equivalent to a 19% improvement on the Part L 2013 standard)</w:t>
      </w:r>
    </w:p>
    <w:p w14:paraId="0FC8FC89" w14:textId="741A3390" w:rsidR="00BC1550" w:rsidRPr="00B20974" w:rsidRDefault="00BC1550" w:rsidP="00103109">
      <w:pPr>
        <w:ind w:right="-52"/>
        <w:rPr>
          <w:sz w:val="22"/>
          <w:szCs w:val="22"/>
        </w:rPr>
      </w:pPr>
      <w:r w:rsidRPr="00B20974">
        <w:rPr>
          <w:b/>
          <w:sz w:val="22"/>
          <w:szCs w:val="22"/>
        </w:rPr>
        <w:t>Comment 2</w:t>
      </w:r>
      <w:r w:rsidRPr="00B20974">
        <w:rPr>
          <w:sz w:val="22"/>
          <w:szCs w:val="22"/>
        </w:rPr>
        <w:t>: Developments should be about 'place making' where communities can be accessed by walking and cycling for most daily activity, and reduce dependence on cars and travel outside.</w:t>
      </w:r>
    </w:p>
    <w:p w14:paraId="2C8CCA18" w14:textId="49838AC3" w:rsidR="00BC1550" w:rsidRPr="00B20974" w:rsidRDefault="00BC1550" w:rsidP="00B34CA0">
      <w:pPr>
        <w:pStyle w:val="PlainText"/>
        <w:rPr>
          <w:rFonts w:asciiTheme="minorHAnsi" w:hAnsiTheme="minorHAnsi"/>
          <w:szCs w:val="22"/>
        </w:rPr>
      </w:pPr>
      <w:r w:rsidRPr="00046074">
        <w:rPr>
          <w:rFonts w:asciiTheme="minorHAnsi" w:hAnsiTheme="minorHAnsi"/>
          <w:b/>
          <w:szCs w:val="22"/>
        </w:rPr>
        <w:t>Comment</w:t>
      </w:r>
      <w:r w:rsidR="00103109" w:rsidRPr="00046074">
        <w:rPr>
          <w:rFonts w:asciiTheme="minorHAnsi" w:hAnsiTheme="minorHAnsi"/>
          <w:b/>
          <w:szCs w:val="22"/>
        </w:rPr>
        <w:t xml:space="preserve"> </w:t>
      </w:r>
      <w:r w:rsidRPr="00046074">
        <w:rPr>
          <w:rFonts w:asciiTheme="minorHAnsi" w:hAnsiTheme="minorHAnsi"/>
          <w:b/>
          <w:szCs w:val="22"/>
        </w:rPr>
        <w:t>3</w:t>
      </w:r>
      <w:r w:rsidRPr="00B20974">
        <w:rPr>
          <w:rFonts w:asciiTheme="minorHAnsi" w:hAnsiTheme="minorHAnsi"/>
          <w:szCs w:val="22"/>
        </w:rPr>
        <w:t xml:space="preserve">: Additional developments </w:t>
      </w:r>
      <w:r w:rsidR="00103109" w:rsidRPr="00B20974">
        <w:rPr>
          <w:rFonts w:asciiTheme="minorHAnsi" w:hAnsiTheme="minorHAnsi"/>
          <w:szCs w:val="22"/>
        </w:rPr>
        <w:t xml:space="preserve">in the service villages, </w:t>
      </w:r>
      <w:r w:rsidRPr="00B20974">
        <w:rPr>
          <w:rFonts w:asciiTheme="minorHAnsi" w:hAnsiTheme="minorHAnsi"/>
          <w:szCs w:val="22"/>
        </w:rPr>
        <w:t>should respect our dark skies polic</w:t>
      </w:r>
      <w:r w:rsidR="00103109" w:rsidRPr="00B20974">
        <w:rPr>
          <w:rFonts w:asciiTheme="minorHAnsi" w:hAnsiTheme="minorHAnsi"/>
          <w:szCs w:val="22"/>
        </w:rPr>
        <w:t>ies of SDNP and CHAONB</w:t>
      </w:r>
      <w:r w:rsidRPr="00B20974">
        <w:rPr>
          <w:rFonts w:asciiTheme="minorHAnsi" w:hAnsiTheme="minorHAnsi"/>
          <w:szCs w:val="22"/>
        </w:rPr>
        <w:t xml:space="preserve"> and have only down lights and </w:t>
      </w:r>
      <w:r w:rsidR="002D62FE" w:rsidRPr="00B20974">
        <w:rPr>
          <w:rFonts w:asciiTheme="minorHAnsi" w:hAnsiTheme="minorHAnsi"/>
          <w:szCs w:val="22"/>
        </w:rPr>
        <w:t xml:space="preserve">no or very </w:t>
      </w:r>
      <w:r w:rsidRPr="00B20974">
        <w:rPr>
          <w:rFonts w:asciiTheme="minorHAnsi" w:hAnsiTheme="minorHAnsi"/>
          <w:szCs w:val="22"/>
        </w:rPr>
        <w:t>limited street lighting.</w:t>
      </w:r>
    </w:p>
    <w:p w14:paraId="6572AA56" w14:textId="338CE140" w:rsidR="004E34A6" w:rsidRPr="00DA6281" w:rsidRDefault="009E680F" w:rsidP="009E680F">
      <w:pPr>
        <w:pStyle w:val="NormalWeb"/>
        <w:spacing w:before="0" w:beforeAutospacing="0" w:after="0" w:afterAutospacing="0"/>
        <w:rPr>
          <w:rFonts w:asciiTheme="minorHAnsi" w:hAnsiTheme="minorHAnsi" w:cs="Arial"/>
          <w:sz w:val="22"/>
          <w:szCs w:val="22"/>
        </w:rPr>
      </w:pPr>
      <w:r w:rsidRPr="00DA6281">
        <w:rPr>
          <w:rFonts w:asciiTheme="minorHAnsi" w:hAnsiTheme="minorHAnsi" w:cs="Arial"/>
          <w:sz w:val="22"/>
          <w:szCs w:val="22"/>
        </w:rPr>
        <w:t xml:space="preserve">Comment </w:t>
      </w:r>
      <w:r w:rsidR="00046074" w:rsidRPr="00DA6281">
        <w:rPr>
          <w:rFonts w:asciiTheme="minorHAnsi" w:hAnsiTheme="minorHAnsi" w:cs="Arial"/>
          <w:sz w:val="22"/>
          <w:szCs w:val="22"/>
        </w:rPr>
        <w:t>4</w:t>
      </w:r>
      <w:r w:rsidRPr="00DA6281">
        <w:rPr>
          <w:rFonts w:asciiTheme="minorHAnsi" w:hAnsiTheme="minorHAnsi" w:cs="Arial"/>
          <w:sz w:val="22"/>
          <w:szCs w:val="22"/>
        </w:rPr>
        <w:t xml:space="preserve">: Developers must include in the Sustainability and Design and Access statements evidence that </w:t>
      </w:r>
      <w:r w:rsidR="00DA6281" w:rsidRPr="00DA6281">
        <w:rPr>
          <w:rFonts w:ascii="Verdana" w:hAnsi="Verdana"/>
          <w:iCs/>
          <w:sz w:val="20"/>
          <w:szCs w:val="20"/>
        </w:rPr>
        <w:t xml:space="preserve">both the development site and surrounding areas affected by the </w:t>
      </w:r>
      <w:r w:rsidR="00FA776B" w:rsidRPr="00DA6281">
        <w:rPr>
          <w:rFonts w:ascii="Verdana" w:hAnsi="Verdana"/>
          <w:iCs/>
          <w:sz w:val="20"/>
          <w:szCs w:val="20"/>
        </w:rPr>
        <w:t xml:space="preserve">development </w:t>
      </w:r>
      <w:r w:rsidR="00FA776B" w:rsidRPr="00DA6281">
        <w:rPr>
          <w:rFonts w:asciiTheme="minorHAnsi" w:hAnsiTheme="minorHAnsi" w:cs="Arial"/>
          <w:sz w:val="22"/>
          <w:szCs w:val="22"/>
        </w:rPr>
        <w:t>will</w:t>
      </w:r>
      <w:r w:rsidRPr="00DA6281">
        <w:rPr>
          <w:rFonts w:asciiTheme="minorHAnsi" w:hAnsiTheme="minorHAnsi" w:cs="Arial"/>
          <w:sz w:val="22"/>
          <w:szCs w:val="22"/>
        </w:rPr>
        <w:t xml:space="preserve"> be free from flood risk until 2065 in accordance with EA recommendation.</w:t>
      </w:r>
      <w:r w:rsidRPr="00DA6281">
        <w:rPr>
          <w:rStyle w:val="FootnoteReference"/>
          <w:rFonts w:asciiTheme="minorHAnsi" w:hAnsiTheme="minorHAnsi" w:cs="Arial"/>
          <w:sz w:val="22"/>
          <w:szCs w:val="22"/>
        </w:rPr>
        <w:footnoteReference w:id="19"/>
      </w:r>
      <w:r w:rsidRPr="00DA6281">
        <w:rPr>
          <w:rFonts w:asciiTheme="minorHAnsi" w:hAnsiTheme="minorHAnsi" w:cs="Arial"/>
          <w:sz w:val="22"/>
          <w:szCs w:val="22"/>
        </w:rPr>
        <w:t xml:space="preserve">  </w:t>
      </w:r>
    </w:p>
    <w:p w14:paraId="3031C8A5" w14:textId="77777777" w:rsidR="00BC1550" w:rsidRPr="00B20974" w:rsidRDefault="00BC1550" w:rsidP="00B34CA0">
      <w:pPr>
        <w:pStyle w:val="PlainText"/>
        <w:rPr>
          <w:rFonts w:asciiTheme="minorHAnsi" w:hAnsiTheme="minorHAnsi"/>
          <w:szCs w:val="22"/>
        </w:rPr>
      </w:pPr>
    </w:p>
    <w:p w14:paraId="5AD73F89" w14:textId="79AD3F14" w:rsidR="00BC1550" w:rsidRPr="00B20974" w:rsidRDefault="00103109" w:rsidP="00103109">
      <w:pPr>
        <w:pStyle w:val="Default"/>
        <w:rPr>
          <w:rFonts w:asciiTheme="minorHAnsi" w:hAnsiTheme="minorHAnsi"/>
          <w:color w:val="auto"/>
          <w:sz w:val="22"/>
          <w:szCs w:val="22"/>
        </w:rPr>
      </w:pPr>
      <w:r w:rsidRPr="00B20974">
        <w:rPr>
          <w:rFonts w:asciiTheme="minorHAnsi" w:hAnsiTheme="minorHAnsi"/>
          <w:color w:val="auto"/>
          <w:sz w:val="22"/>
          <w:szCs w:val="22"/>
          <w:highlight w:val="yellow"/>
        </w:rPr>
        <w:t>(</w:t>
      </w:r>
      <w:r w:rsidR="00BC1550" w:rsidRPr="00B20974">
        <w:rPr>
          <w:rFonts w:asciiTheme="minorHAnsi" w:hAnsiTheme="minorHAnsi"/>
          <w:color w:val="auto"/>
          <w:sz w:val="22"/>
          <w:szCs w:val="22"/>
          <w:highlight w:val="yellow"/>
        </w:rPr>
        <w:t>6.2</w:t>
      </w:r>
      <w:r w:rsidRPr="00B20974">
        <w:rPr>
          <w:rFonts w:asciiTheme="minorHAnsi" w:hAnsiTheme="minorHAnsi"/>
          <w:color w:val="auto"/>
          <w:sz w:val="22"/>
          <w:szCs w:val="22"/>
          <w:highlight w:val="yellow"/>
        </w:rPr>
        <w:t xml:space="preserve">) 9 Development proposals shall be of high-quality design that respects and enhances the existing character of settlements and contributes to creating places of high architectural and built quality. Proposals should conserve and enhance the special interest and settings of designated and </w:t>
      </w:r>
      <w:r w:rsidRPr="00B20974">
        <w:rPr>
          <w:rFonts w:asciiTheme="minorHAnsi" w:hAnsiTheme="minorHAnsi"/>
          <w:color w:val="auto"/>
          <w:sz w:val="22"/>
          <w:szCs w:val="22"/>
          <w:highlight w:val="yellow"/>
        </w:rPr>
        <w:lastRenderedPageBreak/>
        <w:t>non-designated heritage assets, as demonstrated through the submission of a Design and Access Statement.</w:t>
      </w:r>
      <w:r w:rsidRPr="00B20974">
        <w:rPr>
          <w:rFonts w:asciiTheme="minorHAnsi" w:hAnsiTheme="minorHAnsi"/>
          <w:color w:val="auto"/>
          <w:sz w:val="22"/>
          <w:szCs w:val="22"/>
        </w:rPr>
        <w:t xml:space="preserve"> </w:t>
      </w:r>
    </w:p>
    <w:p w14:paraId="0EAD4A28" w14:textId="6D544A40" w:rsidR="00BC1550" w:rsidRPr="00B20974" w:rsidRDefault="00BC1550" w:rsidP="00E467AF">
      <w:pPr>
        <w:ind w:right="-52"/>
        <w:rPr>
          <w:sz w:val="22"/>
          <w:szCs w:val="22"/>
        </w:rPr>
      </w:pPr>
      <w:r w:rsidRPr="00B20974">
        <w:rPr>
          <w:b/>
          <w:sz w:val="22"/>
          <w:szCs w:val="22"/>
        </w:rPr>
        <w:t>Comment</w:t>
      </w:r>
      <w:r w:rsidR="00103109" w:rsidRPr="00B20974">
        <w:rPr>
          <w:b/>
          <w:sz w:val="22"/>
          <w:szCs w:val="22"/>
        </w:rPr>
        <w:t xml:space="preserve"> 1</w:t>
      </w:r>
      <w:r w:rsidRPr="00B20974">
        <w:rPr>
          <w:sz w:val="22"/>
          <w:szCs w:val="22"/>
        </w:rPr>
        <w:t xml:space="preserve">: we endorse this, but this has not been the experience of recent developments approved by CDC, where volume builders use </w:t>
      </w:r>
      <w:r w:rsidR="00103109" w:rsidRPr="00B20974">
        <w:rPr>
          <w:sz w:val="22"/>
          <w:szCs w:val="22"/>
        </w:rPr>
        <w:t>pattern book</w:t>
      </w:r>
      <w:r w:rsidRPr="00B20974">
        <w:rPr>
          <w:sz w:val="22"/>
          <w:szCs w:val="22"/>
        </w:rPr>
        <w:t xml:space="preserve"> housing plans. </w:t>
      </w:r>
      <w:r w:rsidR="00D85249" w:rsidRPr="00B20974">
        <w:rPr>
          <w:sz w:val="22"/>
          <w:szCs w:val="22"/>
        </w:rPr>
        <w:t>Guidance at pre-application stage needs to take into account ‘distinctiveness’, ‘accessibility’, ‘proximity’, ‘walkability’, ‘convenience’, ‘connectivity’, ‘harmony’, ‘inclusivity’. What we see being rolled out across the whole of the District and particularly in the East/West corridor are masses of cheap pattern book housing from stock drawings that developers paste together without serious reference to existing urban form, styles, topography or habitat. The development on the SAAB Site at Chidham</w:t>
      </w:r>
      <w:r w:rsidR="00D061FE" w:rsidRPr="00B20974">
        <w:rPr>
          <w:sz w:val="22"/>
          <w:szCs w:val="22"/>
        </w:rPr>
        <w:t xml:space="preserve"> (</w:t>
      </w:r>
      <w:proofErr w:type="spellStart"/>
      <w:r w:rsidR="00D061FE" w:rsidRPr="00B20974">
        <w:rPr>
          <w:sz w:val="22"/>
          <w:szCs w:val="22"/>
        </w:rPr>
        <w:t>Cutmill</w:t>
      </w:r>
      <w:proofErr w:type="spellEnd"/>
      <w:r w:rsidR="00D061FE" w:rsidRPr="00B20974">
        <w:rPr>
          <w:sz w:val="22"/>
          <w:szCs w:val="22"/>
        </w:rPr>
        <w:t>)</w:t>
      </w:r>
      <w:r w:rsidR="00D85249" w:rsidRPr="00B20974">
        <w:rPr>
          <w:sz w:val="22"/>
          <w:szCs w:val="22"/>
        </w:rPr>
        <w:t xml:space="preserve"> is an example.</w:t>
      </w:r>
    </w:p>
    <w:p w14:paraId="2902A83D" w14:textId="77777777" w:rsidR="00BC1550" w:rsidRPr="00B20974" w:rsidRDefault="00BC1550" w:rsidP="00B34CA0">
      <w:pPr>
        <w:pStyle w:val="PlainText"/>
        <w:rPr>
          <w:rFonts w:asciiTheme="minorHAnsi" w:hAnsiTheme="minorHAnsi"/>
          <w:szCs w:val="22"/>
        </w:rPr>
      </w:pPr>
    </w:p>
    <w:p w14:paraId="7D6FACEA" w14:textId="0D38B0D5" w:rsidR="00240444" w:rsidRPr="00B20974" w:rsidRDefault="00240444" w:rsidP="00240444">
      <w:pPr>
        <w:pStyle w:val="Default"/>
        <w:rPr>
          <w:rFonts w:asciiTheme="minorHAnsi" w:hAnsiTheme="minorHAnsi"/>
          <w:color w:val="auto"/>
          <w:sz w:val="22"/>
          <w:szCs w:val="22"/>
        </w:rPr>
      </w:pPr>
      <w:r w:rsidRPr="00B20974">
        <w:rPr>
          <w:rFonts w:asciiTheme="minorHAnsi" w:hAnsiTheme="minorHAnsi"/>
          <w:color w:val="auto"/>
          <w:sz w:val="22"/>
          <w:szCs w:val="22"/>
          <w:highlight w:val="yellow"/>
        </w:rPr>
        <w:t>(</w:t>
      </w:r>
      <w:r w:rsidR="00BC1550" w:rsidRPr="00B20974">
        <w:rPr>
          <w:rFonts w:asciiTheme="minorHAnsi" w:hAnsiTheme="minorHAnsi"/>
          <w:color w:val="auto"/>
          <w:sz w:val="22"/>
          <w:szCs w:val="22"/>
          <w:highlight w:val="yellow"/>
        </w:rPr>
        <w:t>6.2</w:t>
      </w:r>
      <w:r w:rsidRPr="00B20974">
        <w:rPr>
          <w:rFonts w:asciiTheme="minorHAnsi" w:hAnsiTheme="minorHAnsi"/>
          <w:color w:val="auto"/>
          <w:sz w:val="22"/>
          <w:szCs w:val="22"/>
          <w:highlight w:val="yellow"/>
        </w:rPr>
        <w:t>)</w:t>
      </w:r>
      <w:r w:rsidR="00B20974">
        <w:rPr>
          <w:rFonts w:asciiTheme="minorHAnsi" w:hAnsiTheme="minorHAnsi"/>
          <w:color w:val="auto"/>
          <w:sz w:val="22"/>
          <w:szCs w:val="22"/>
          <w:highlight w:val="yellow"/>
        </w:rPr>
        <w:t xml:space="preserve"> </w:t>
      </w:r>
      <w:r w:rsidRPr="00B20974">
        <w:rPr>
          <w:rFonts w:asciiTheme="minorHAnsi" w:hAnsiTheme="minorHAnsi"/>
          <w:color w:val="auto"/>
          <w:sz w:val="22"/>
          <w:szCs w:val="22"/>
          <w:highlight w:val="yellow"/>
        </w:rPr>
        <w:t>10. Development should be sustainably located in accessibility terms, and include vehicular, pedestrian and cycle links to the adjoining settlement and networks and, where appropriate, provide opportunities for new and upgraded linkages.</w:t>
      </w:r>
      <w:r w:rsidRPr="00B20974">
        <w:rPr>
          <w:rFonts w:asciiTheme="minorHAnsi" w:hAnsiTheme="minorHAnsi"/>
          <w:color w:val="auto"/>
          <w:sz w:val="22"/>
          <w:szCs w:val="22"/>
        </w:rPr>
        <w:t xml:space="preserve"> </w:t>
      </w:r>
    </w:p>
    <w:p w14:paraId="36FE4663" w14:textId="52676520" w:rsidR="00BC1550" w:rsidRPr="00B20974" w:rsidRDefault="00BC1550" w:rsidP="00B34CA0">
      <w:pPr>
        <w:pStyle w:val="PlainText"/>
        <w:rPr>
          <w:rFonts w:asciiTheme="minorHAnsi" w:hAnsiTheme="minorHAnsi"/>
          <w:szCs w:val="22"/>
        </w:rPr>
      </w:pPr>
      <w:r w:rsidRPr="00B20974">
        <w:rPr>
          <w:rFonts w:asciiTheme="minorHAnsi" w:hAnsiTheme="minorHAnsi"/>
          <w:b/>
          <w:szCs w:val="22"/>
        </w:rPr>
        <w:t>Comment</w:t>
      </w:r>
      <w:r w:rsidR="00240444" w:rsidRPr="00B20974">
        <w:rPr>
          <w:rFonts w:asciiTheme="minorHAnsi" w:hAnsiTheme="minorHAnsi"/>
          <w:b/>
          <w:szCs w:val="22"/>
        </w:rPr>
        <w:t xml:space="preserve"> 1</w:t>
      </w:r>
      <w:r w:rsidRPr="00B20974">
        <w:rPr>
          <w:rFonts w:asciiTheme="minorHAnsi" w:hAnsiTheme="minorHAnsi"/>
          <w:szCs w:val="22"/>
        </w:rPr>
        <w:t>:  Pedestrian and cycle routes should be fully protected from motor vehicles. Motor vehicle speeds should be limited to 20 mph</w:t>
      </w:r>
      <w:r w:rsidR="00240444" w:rsidRPr="00B20974">
        <w:rPr>
          <w:rFonts w:asciiTheme="minorHAnsi" w:hAnsiTheme="minorHAnsi"/>
          <w:szCs w:val="22"/>
        </w:rPr>
        <w:t xml:space="preserve"> in residential streets</w:t>
      </w:r>
      <w:r w:rsidRPr="00B20974">
        <w:rPr>
          <w:rFonts w:asciiTheme="minorHAnsi" w:hAnsiTheme="minorHAnsi"/>
          <w:szCs w:val="22"/>
        </w:rPr>
        <w:t xml:space="preserve">. </w:t>
      </w:r>
    </w:p>
    <w:p w14:paraId="5596B791" w14:textId="1BB2FCC8" w:rsidR="00ED2729" w:rsidRPr="00B20974" w:rsidRDefault="00ED2729" w:rsidP="00ED2729">
      <w:pPr>
        <w:pStyle w:val="NormalWeb"/>
        <w:spacing w:before="0" w:beforeAutospacing="0" w:after="0" w:afterAutospacing="0"/>
        <w:rPr>
          <w:rFonts w:asciiTheme="minorHAnsi" w:hAnsiTheme="minorHAnsi" w:cs="Arial"/>
          <w:sz w:val="22"/>
          <w:szCs w:val="22"/>
        </w:rPr>
      </w:pPr>
      <w:r w:rsidRPr="00B20974">
        <w:rPr>
          <w:rFonts w:asciiTheme="minorHAnsi" w:hAnsiTheme="minorHAnsi"/>
          <w:b/>
          <w:sz w:val="22"/>
          <w:szCs w:val="22"/>
        </w:rPr>
        <w:t>Comment 2</w:t>
      </w:r>
      <w:r w:rsidRPr="00B20974">
        <w:rPr>
          <w:rFonts w:asciiTheme="minorHAnsi" w:hAnsiTheme="minorHAnsi"/>
          <w:sz w:val="22"/>
          <w:szCs w:val="22"/>
        </w:rPr>
        <w:t>:</w:t>
      </w:r>
      <w:r w:rsidRPr="00B20974">
        <w:rPr>
          <w:rFonts w:asciiTheme="minorHAnsi" w:hAnsiTheme="minorHAnsi" w:cs="Arial"/>
          <w:sz w:val="22"/>
          <w:szCs w:val="22"/>
        </w:rPr>
        <w:t xml:space="preserve"> Development should be located with reliable vehicular and public transport or cycle accessibility to Chichester or the nearest settlement with employment and higher education/training facilities. </w:t>
      </w:r>
    </w:p>
    <w:p w14:paraId="639F67B2" w14:textId="303E001A" w:rsidR="00ED2729" w:rsidRPr="00B20974" w:rsidRDefault="00ED2729" w:rsidP="00B34CA0">
      <w:pPr>
        <w:pStyle w:val="PlainText"/>
        <w:rPr>
          <w:rFonts w:asciiTheme="minorHAnsi" w:hAnsiTheme="minorHAnsi"/>
          <w:szCs w:val="22"/>
        </w:rPr>
      </w:pPr>
    </w:p>
    <w:p w14:paraId="53DF17F5" w14:textId="77777777" w:rsidR="00BC1550" w:rsidRPr="00B20974" w:rsidRDefault="00BC1550" w:rsidP="00B34CA0">
      <w:pPr>
        <w:pStyle w:val="PlainText"/>
        <w:rPr>
          <w:rFonts w:asciiTheme="minorHAnsi" w:hAnsiTheme="minorHAnsi"/>
          <w:szCs w:val="22"/>
        </w:rPr>
      </w:pPr>
    </w:p>
    <w:p w14:paraId="78B07192" w14:textId="0CD5AA1C" w:rsidR="003F5B56" w:rsidRPr="00B20974" w:rsidRDefault="003F5B56" w:rsidP="003F5B56">
      <w:pPr>
        <w:pStyle w:val="Default"/>
        <w:rPr>
          <w:rFonts w:asciiTheme="minorHAnsi" w:hAnsiTheme="minorHAnsi"/>
          <w:color w:val="auto"/>
          <w:sz w:val="22"/>
          <w:szCs w:val="22"/>
        </w:rPr>
      </w:pPr>
      <w:r w:rsidRPr="00B20974">
        <w:rPr>
          <w:rFonts w:asciiTheme="minorHAnsi" w:hAnsiTheme="minorHAnsi"/>
          <w:color w:val="auto"/>
          <w:sz w:val="22"/>
          <w:szCs w:val="22"/>
          <w:highlight w:val="yellow"/>
        </w:rPr>
        <w:t>(</w:t>
      </w:r>
      <w:r w:rsidR="00BC1550" w:rsidRPr="00B20974">
        <w:rPr>
          <w:rFonts w:asciiTheme="minorHAnsi" w:hAnsiTheme="minorHAnsi"/>
          <w:color w:val="auto"/>
          <w:sz w:val="22"/>
          <w:szCs w:val="22"/>
          <w:highlight w:val="yellow"/>
        </w:rPr>
        <w:t>6.2.</w:t>
      </w:r>
      <w:r w:rsidRPr="00B20974">
        <w:rPr>
          <w:rFonts w:asciiTheme="minorHAnsi" w:hAnsiTheme="minorHAnsi"/>
          <w:color w:val="auto"/>
          <w:sz w:val="22"/>
          <w:szCs w:val="22"/>
          <w:highlight w:val="yellow"/>
        </w:rPr>
        <w:t>) 11. Development must be located, designed and laid out to ensure that it is safe, that the risk from flooding is minimised whilst not increasing the risk of flooding elsewhere, and that residual risks are safely managed. This includes, where relevant, provision of the necessary information for the LPA to undertake a sequential test, and where necessary the exception test, incorporation of flood mitigation measures into the design (including evidence of independent verification of SUDs designs and ongoing maintenance) and evidence that development would not constrain the natural function of the flood plain, either by impeding flood flow or reducing storage capacity. All flood risk assessments should be informed by the most recent climate change allowances published by the Environment Agency.</w:t>
      </w:r>
      <w:r w:rsidRPr="00B20974">
        <w:rPr>
          <w:rFonts w:asciiTheme="minorHAnsi" w:hAnsiTheme="minorHAnsi"/>
          <w:color w:val="auto"/>
          <w:sz w:val="22"/>
          <w:szCs w:val="22"/>
        </w:rPr>
        <w:t xml:space="preserve"> </w:t>
      </w:r>
    </w:p>
    <w:p w14:paraId="0B680FE5" w14:textId="03BB4A21" w:rsidR="0094551D" w:rsidRPr="00B20974" w:rsidRDefault="003F5B56" w:rsidP="003F5B56">
      <w:pPr>
        <w:pStyle w:val="NormalWeb"/>
        <w:spacing w:before="0" w:beforeAutospacing="0" w:after="0" w:afterAutospacing="0"/>
        <w:rPr>
          <w:rFonts w:asciiTheme="minorHAnsi" w:hAnsiTheme="minorHAnsi" w:cs="Arial"/>
          <w:sz w:val="22"/>
          <w:szCs w:val="22"/>
        </w:rPr>
      </w:pPr>
      <w:r w:rsidRPr="00B20974">
        <w:rPr>
          <w:rFonts w:asciiTheme="minorHAnsi" w:hAnsiTheme="minorHAnsi"/>
          <w:b/>
          <w:sz w:val="22"/>
          <w:szCs w:val="22"/>
        </w:rPr>
        <w:t>Comment 1</w:t>
      </w:r>
      <w:r w:rsidRPr="00B20974">
        <w:rPr>
          <w:rFonts w:asciiTheme="minorHAnsi" w:hAnsiTheme="minorHAnsi"/>
          <w:sz w:val="22"/>
          <w:szCs w:val="22"/>
        </w:rPr>
        <w:t>:</w:t>
      </w:r>
      <w:r w:rsidRPr="00B20974">
        <w:rPr>
          <w:rFonts w:asciiTheme="minorHAnsi" w:hAnsiTheme="minorHAnsi" w:cs="Arial"/>
          <w:sz w:val="22"/>
          <w:szCs w:val="22"/>
        </w:rPr>
        <w:t xml:space="preserve"> </w:t>
      </w:r>
      <w:r w:rsidR="0094551D" w:rsidRPr="00B20974">
        <w:rPr>
          <w:rFonts w:asciiTheme="minorHAnsi" w:hAnsiTheme="minorHAnsi" w:cs="Arial"/>
          <w:sz w:val="22"/>
          <w:szCs w:val="22"/>
        </w:rPr>
        <w:t xml:space="preserve">All flood risk assessments should be informed by the most recent climate change allowances and sea level rises published by the Environment Agency. For sites close to the harbour or within one mile of the open coast a precautionary approach will be needed to allow for variance in sea level rise predictions. Avoid new development in areas at risk of inundation and increase regional standards of protection to levels approximating an annual expected probability of occurrence of 0.01%. </w:t>
      </w:r>
      <w:r w:rsidR="0094551D" w:rsidRPr="00B20974">
        <w:rPr>
          <w:rFonts w:asciiTheme="minorHAnsi" w:hAnsiTheme="minorHAnsi" w:cs="Arial"/>
          <w:sz w:val="22"/>
          <w:szCs w:val="22"/>
          <w:shd w:val="clear" w:color="auto" w:fill="FFFFFF"/>
        </w:rPr>
        <w:t>Until a strategic Local Plan has been produced which fully accounts for the latest sea level rise predictions on the south coast and in line with CDC’s declaration of a Climate Change Emergency, sites close to the coast and less than 7m above sea level should be considered inappropriate for development and avoided as not being sustainable in the long term.</w:t>
      </w:r>
      <w:r w:rsidR="0094551D" w:rsidRPr="00B20974">
        <w:rPr>
          <w:rStyle w:val="FootnoteReference"/>
          <w:rFonts w:asciiTheme="minorHAnsi" w:hAnsiTheme="minorHAnsi" w:cs="Arial"/>
          <w:sz w:val="22"/>
          <w:szCs w:val="22"/>
          <w:shd w:val="clear" w:color="auto" w:fill="FFFFFF"/>
        </w:rPr>
        <w:footnoteReference w:id="20"/>
      </w:r>
      <w:r w:rsidR="0094551D" w:rsidRPr="00B20974">
        <w:rPr>
          <w:rFonts w:asciiTheme="minorHAnsi" w:hAnsiTheme="minorHAnsi" w:cs="Arial"/>
          <w:sz w:val="22"/>
          <w:szCs w:val="22"/>
          <w:shd w:val="clear" w:color="auto" w:fill="FFFFFF"/>
        </w:rPr>
        <w:t xml:space="preserve"> </w:t>
      </w:r>
      <w:r w:rsidR="0094551D" w:rsidRPr="00B20974">
        <w:rPr>
          <w:rFonts w:asciiTheme="minorHAnsi" w:hAnsiTheme="minorHAnsi" w:cs="Arial"/>
          <w:sz w:val="22"/>
          <w:szCs w:val="22"/>
        </w:rPr>
        <w:t xml:space="preserve">Chichester </w:t>
      </w:r>
      <w:r w:rsidR="0094551D" w:rsidRPr="00B20974">
        <w:rPr>
          <w:rFonts w:asciiTheme="minorHAnsi" w:hAnsiTheme="minorHAnsi" w:cs="Arial"/>
          <w:sz w:val="22"/>
          <w:szCs w:val="22"/>
        </w:rPr>
        <w:lastRenderedPageBreak/>
        <w:t>District Council will use high climate change allowances (++) to evaluate housing developments in locations which will face much higher risk in the future.</w:t>
      </w:r>
      <w:r w:rsidR="0094551D" w:rsidRPr="00B20974">
        <w:rPr>
          <w:rFonts w:asciiTheme="minorHAnsi" w:hAnsiTheme="minorHAnsi" w:cs="Arial"/>
          <w:sz w:val="22"/>
          <w:szCs w:val="22"/>
          <w:shd w:val="clear" w:color="auto" w:fill="FFFFFF"/>
        </w:rPr>
        <w:t xml:space="preserve"> </w:t>
      </w:r>
    </w:p>
    <w:p w14:paraId="4887D3B3" w14:textId="6150F63B" w:rsidR="00BC1550" w:rsidRPr="00B20974" w:rsidRDefault="00BC1550" w:rsidP="00B34CA0">
      <w:pPr>
        <w:pStyle w:val="PlainText"/>
        <w:rPr>
          <w:rFonts w:asciiTheme="minorHAnsi" w:hAnsiTheme="minorHAnsi"/>
          <w:szCs w:val="22"/>
        </w:rPr>
      </w:pPr>
      <w:r w:rsidRPr="00B20974">
        <w:rPr>
          <w:rFonts w:asciiTheme="minorHAnsi" w:hAnsiTheme="minorHAnsi"/>
          <w:b/>
          <w:szCs w:val="22"/>
        </w:rPr>
        <w:t>Comment 2</w:t>
      </w:r>
      <w:r w:rsidRPr="00B20974">
        <w:rPr>
          <w:rFonts w:asciiTheme="minorHAnsi" w:hAnsiTheme="minorHAnsi"/>
          <w:szCs w:val="22"/>
        </w:rPr>
        <w:t xml:space="preserve">: </w:t>
      </w:r>
      <w:r w:rsidR="00350233" w:rsidRPr="00B20974">
        <w:rPr>
          <w:rFonts w:asciiTheme="minorHAnsi" w:hAnsiTheme="minorHAnsi"/>
          <w:szCs w:val="22"/>
        </w:rPr>
        <w:t xml:space="preserve">Fluvial flooding, some distance from the coast is a more frequent result of new meteorological conditions, producing prolonged spells of rain. An example is </w:t>
      </w:r>
      <w:r w:rsidRPr="00B20974">
        <w:rPr>
          <w:rFonts w:asciiTheme="minorHAnsi" w:hAnsiTheme="minorHAnsi"/>
          <w:szCs w:val="22"/>
        </w:rPr>
        <w:t xml:space="preserve">Highgrove Field </w:t>
      </w:r>
      <w:r w:rsidR="00ED2729" w:rsidRPr="00B20974">
        <w:rPr>
          <w:rFonts w:asciiTheme="minorHAnsi" w:hAnsiTheme="minorHAnsi"/>
          <w:szCs w:val="22"/>
        </w:rPr>
        <w:t xml:space="preserve">(AL7) </w:t>
      </w:r>
      <w:r w:rsidRPr="00B20974">
        <w:rPr>
          <w:rFonts w:asciiTheme="minorHAnsi" w:hAnsiTheme="minorHAnsi"/>
          <w:szCs w:val="22"/>
        </w:rPr>
        <w:t xml:space="preserve">planned for 300 houses, floods frequently after heavy rain with water coming down from the Downs. The floods spill over onto the roads close by and gets perilously close to the abutting houses. The </w:t>
      </w:r>
      <w:proofErr w:type="gramStart"/>
      <w:r w:rsidRPr="00B20974">
        <w:rPr>
          <w:rFonts w:asciiTheme="minorHAnsi" w:hAnsiTheme="minorHAnsi"/>
          <w:szCs w:val="22"/>
        </w:rPr>
        <w:t>proposal for Suds have</w:t>
      </w:r>
      <w:proofErr w:type="gramEnd"/>
      <w:r w:rsidRPr="00B20974">
        <w:rPr>
          <w:rFonts w:asciiTheme="minorHAnsi" w:hAnsiTheme="minorHAnsi"/>
          <w:szCs w:val="22"/>
        </w:rPr>
        <w:t xml:space="preserve"> been shown to be of limited effect because of the very high water table.</w:t>
      </w:r>
    </w:p>
    <w:p w14:paraId="1DD16879" w14:textId="41E5B992" w:rsidR="00BC1550" w:rsidRPr="00B20974" w:rsidRDefault="00BC1550" w:rsidP="00B34CA0">
      <w:pPr>
        <w:pStyle w:val="PlainText"/>
        <w:rPr>
          <w:rFonts w:asciiTheme="minorHAnsi" w:hAnsiTheme="minorHAnsi"/>
          <w:szCs w:val="22"/>
        </w:rPr>
      </w:pPr>
      <w:r w:rsidRPr="00B20974">
        <w:rPr>
          <w:rFonts w:asciiTheme="minorHAnsi" w:hAnsiTheme="minorHAnsi"/>
          <w:b/>
          <w:szCs w:val="22"/>
        </w:rPr>
        <w:t>Comment</w:t>
      </w:r>
      <w:r w:rsidR="00ED2729" w:rsidRPr="00B20974">
        <w:rPr>
          <w:rFonts w:asciiTheme="minorHAnsi" w:hAnsiTheme="minorHAnsi"/>
          <w:b/>
          <w:szCs w:val="22"/>
        </w:rPr>
        <w:t xml:space="preserve"> </w:t>
      </w:r>
      <w:r w:rsidRPr="00B20974">
        <w:rPr>
          <w:rFonts w:asciiTheme="minorHAnsi" w:hAnsiTheme="minorHAnsi"/>
          <w:b/>
          <w:szCs w:val="22"/>
        </w:rPr>
        <w:t>3</w:t>
      </w:r>
      <w:r w:rsidRPr="00B20974">
        <w:rPr>
          <w:rFonts w:asciiTheme="minorHAnsi" w:hAnsiTheme="minorHAnsi"/>
          <w:szCs w:val="22"/>
        </w:rPr>
        <w:t xml:space="preserve">. Building flood defences to protect properties that have been built in areas likely to flood now runs into millions of pounds. In 2013 after floods in East Anglia the cost was £90m. Earlier this year (2020) Storm Clara destroyed the sea defences at </w:t>
      </w:r>
      <w:proofErr w:type="spellStart"/>
      <w:r w:rsidRPr="00B20974">
        <w:rPr>
          <w:rFonts w:asciiTheme="minorHAnsi" w:hAnsiTheme="minorHAnsi"/>
          <w:szCs w:val="22"/>
        </w:rPr>
        <w:t>Clymping</w:t>
      </w:r>
      <w:proofErr w:type="spellEnd"/>
      <w:r w:rsidRPr="00B20974">
        <w:rPr>
          <w:rFonts w:asciiTheme="minorHAnsi" w:hAnsiTheme="minorHAnsi"/>
          <w:szCs w:val="22"/>
        </w:rPr>
        <w:t xml:space="preserve"> and flooded land towards Littlehampton. Trying to keep back the sea is becoming an increasingly difficult and increasingly expensive endeavour, which is one reason it is not wise to build on known flood risk areas. It is also becoming increasingly difficult for residents to get insurance for flooding risk because of the extent and costs, which leaves home owners who have bought in these developments at serious risk of losing their homes.  There is a whole question of morality as to whether homes should be built and sold to people looking for homes in these </w:t>
      </w:r>
      <w:r w:rsidR="003F5B56" w:rsidRPr="00B20974">
        <w:rPr>
          <w:rFonts w:asciiTheme="minorHAnsi" w:hAnsiTheme="minorHAnsi"/>
          <w:szCs w:val="22"/>
        </w:rPr>
        <w:t>high-risk</w:t>
      </w:r>
      <w:r w:rsidRPr="00B20974">
        <w:rPr>
          <w:rFonts w:asciiTheme="minorHAnsi" w:hAnsiTheme="minorHAnsi"/>
          <w:szCs w:val="22"/>
        </w:rPr>
        <w:t xml:space="preserve"> areas without any warning.</w:t>
      </w:r>
    </w:p>
    <w:p w14:paraId="05A1B9C2" w14:textId="77777777" w:rsidR="00BC1550" w:rsidRPr="00B20974" w:rsidRDefault="00BC1550" w:rsidP="00B34CA0">
      <w:pPr>
        <w:pStyle w:val="PlainText"/>
        <w:rPr>
          <w:rFonts w:asciiTheme="minorHAnsi" w:hAnsiTheme="minorHAnsi"/>
          <w:szCs w:val="22"/>
        </w:rPr>
      </w:pPr>
    </w:p>
    <w:p w14:paraId="2A5581C1" w14:textId="7B013174" w:rsidR="005A1BCC" w:rsidRPr="00B20974" w:rsidRDefault="005A1BCC" w:rsidP="005A1BCC">
      <w:pPr>
        <w:pStyle w:val="Default"/>
        <w:rPr>
          <w:rFonts w:asciiTheme="minorHAnsi" w:hAnsiTheme="minorHAnsi"/>
          <w:color w:val="auto"/>
          <w:sz w:val="22"/>
          <w:szCs w:val="22"/>
        </w:rPr>
      </w:pPr>
      <w:r w:rsidRPr="00B20974">
        <w:rPr>
          <w:rFonts w:asciiTheme="minorHAnsi" w:hAnsiTheme="minorHAnsi"/>
          <w:color w:val="auto"/>
          <w:sz w:val="22"/>
          <w:szCs w:val="22"/>
          <w:highlight w:val="yellow"/>
        </w:rPr>
        <w:t>(</w:t>
      </w:r>
      <w:r w:rsidR="00BC1550" w:rsidRPr="00B20974">
        <w:rPr>
          <w:rFonts w:asciiTheme="minorHAnsi" w:hAnsiTheme="minorHAnsi"/>
          <w:color w:val="auto"/>
          <w:sz w:val="22"/>
          <w:szCs w:val="22"/>
          <w:highlight w:val="yellow"/>
        </w:rPr>
        <w:t>6.2</w:t>
      </w:r>
      <w:r w:rsidRPr="00B20974">
        <w:rPr>
          <w:rFonts w:asciiTheme="minorHAnsi" w:hAnsiTheme="minorHAnsi"/>
          <w:color w:val="auto"/>
          <w:sz w:val="22"/>
          <w:szCs w:val="22"/>
          <w:highlight w:val="yellow"/>
        </w:rPr>
        <w:t>) 12. Where appropriate, development proposals shall demonstrate how they achieve nitrate neutrality in accordance with Natural England’s latest guidance on achieving nutrient neutrality for new housing development.</w:t>
      </w:r>
      <w:r w:rsidRPr="00B20974">
        <w:rPr>
          <w:rFonts w:asciiTheme="minorHAnsi" w:hAnsiTheme="minorHAnsi"/>
          <w:color w:val="auto"/>
          <w:sz w:val="22"/>
          <w:szCs w:val="22"/>
        </w:rPr>
        <w:t xml:space="preserve"> </w:t>
      </w:r>
    </w:p>
    <w:p w14:paraId="4D3EE7EE" w14:textId="2CD5FED6" w:rsidR="005A1BCC" w:rsidRDefault="00CD2CC6" w:rsidP="005A1BCC">
      <w:pPr>
        <w:pStyle w:val="PlainText"/>
        <w:rPr>
          <w:rFonts w:asciiTheme="minorHAnsi" w:hAnsiTheme="minorHAnsi" w:cs="Arial"/>
          <w:szCs w:val="22"/>
        </w:rPr>
      </w:pPr>
      <w:r w:rsidRPr="00B20974">
        <w:rPr>
          <w:rFonts w:asciiTheme="minorHAnsi" w:hAnsiTheme="minorHAnsi" w:cs="Arial"/>
          <w:b/>
          <w:szCs w:val="22"/>
        </w:rPr>
        <w:t>Comment 1</w:t>
      </w:r>
      <w:r w:rsidRPr="00B20974">
        <w:rPr>
          <w:rFonts w:asciiTheme="minorHAnsi" w:hAnsiTheme="minorHAnsi" w:cs="Arial"/>
          <w:szCs w:val="22"/>
        </w:rPr>
        <w:t xml:space="preserve">: </w:t>
      </w:r>
      <w:r w:rsidR="005A1BCC" w:rsidRPr="00B20974">
        <w:rPr>
          <w:rFonts w:asciiTheme="minorHAnsi" w:hAnsiTheme="minorHAnsi" w:cs="Arial"/>
          <w:szCs w:val="22"/>
        </w:rPr>
        <w:t xml:space="preserve"> Off-sets for nutrient emissions from new developments should not be dealt with by remote re-balancing. Any off-sets must be within the catchments defined by Natural England for the Solent (March 2020)</w:t>
      </w:r>
      <w:r w:rsidR="005A1BCC" w:rsidRPr="00B20974">
        <w:rPr>
          <w:rStyle w:val="FootnoteReference"/>
          <w:rFonts w:asciiTheme="minorHAnsi" w:hAnsiTheme="minorHAnsi" w:cs="Arial"/>
          <w:szCs w:val="22"/>
        </w:rPr>
        <w:footnoteReference w:id="21"/>
      </w:r>
      <w:r w:rsidR="005A1BCC" w:rsidRPr="00B20974">
        <w:rPr>
          <w:rFonts w:asciiTheme="minorHAnsi" w:hAnsiTheme="minorHAnsi" w:cs="Arial"/>
          <w:szCs w:val="22"/>
        </w:rPr>
        <w:t xml:space="preserve"> and in any case must meet the requirements under para 4.2 (</w:t>
      </w:r>
      <w:r w:rsidR="005A1BCC" w:rsidRPr="00B20974">
        <w:rPr>
          <w:rFonts w:asciiTheme="minorHAnsi" w:hAnsiTheme="minorHAnsi"/>
          <w:szCs w:val="22"/>
        </w:rPr>
        <w:t>off-site infrastructure deliverability)</w:t>
      </w:r>
      <w:r w:rsidR="005A1BCC" w:rsidRPr="00B20974">
        <w:rPr>
          <w:rFonts w:asciiTheme="minorHAnsi" w:hAnsiTheme="minorHAnsi" w:cs="Arial"/>
          <w:szCs w:val="22"/>
        </w:rPr>
        <w:t>. Assessments of nitrate budgets for new developments must be independently performed by qualified parties.</w:t>
      </w:r>
      <w:r w:rsidR="005358AF">
        <w:rPr>
          <w:rFonts w:asciiTheme="minorHAnsi" w:hAnsiTheme="minorHAnsi" w:cs="Arial"/>
          <w:szCs w:val="22"/>
        </w:rPr>
        <w:t xml:space="preserve"> Current trends in the </w:t>
      </w:r>
      <w:r w:rsidR="00EA4EAA">
        <w:rPr>
          <w:rFonts w:asciiTheme="minorHAnsi" w:hAnsiTheme="minorHAnsi" w:cs="Arial"/>
          <w:szCs w:val="22"/>
        </w:rPr>
        <w:t>quality</w:t>
      </w:r>
      <w:r w:rsidR="005358AF">
        <w:rPr>
          <w:rFonts w:asciiTheme="minorHAnsi" w:hAnsiTheme="minorHAnsi" w:cs="Arial"/>
          <w:szCs w:val="22"/>
        </w:rPr>
        <w:t xml:space="preserve"> of </w:t>
      </w:r>
      <w:r w:rsidR="00025B0D">
        <w:rPr>
          <w:rFonts w:asciiTheme="minorHAnsi" w:hAnsiTheme="minorHAnsi" w:cs="Arial"/>
          <w:szCs w:val="22"/>
        </w:rPr>
        <w:t>the littoral sediments in Chichester Harbour indicate a worsening condition.</w:t>
      </w:r>
      <w:r w:rsidR="00025B0D">
        <w:rPr>
          <w:rStyle w:val="FootnoteReference"/>
          <w:rFonts w:asciiTheme="minorHAnsi" w:hAnsiTheme="minorHAnsi" w:cs="Arial"/>
          <w:szCs w:val="22"/>
        </w:rPr>
        <w:footnoteReference w:id="22"/>
      </w:r>
    </w:p>
    <w:p w14:paraId="13815FB3" w14:textId="65411929" w:rsidR="00644DE9" w:rsidRDefault="00644DE9" w:rsidP="005A1BCC">
      <w:pPr>
        <w:pStyle w:val="PlainText"/>
        <w:rPr>
          <w:rFonts w:asciiTheme="minorHAnsi" w:hAnsiTheme="minorHAnsi" w:cs="Arial"/>
          <w:szCs w:val="22"/>
        </w:rPr>
      </w:pPr>
    </w:p>
    <w:p w14:paraId="0D6F3082" w14:textId="63203B89" w:rsidR="00644DE9" w:rsidRDefault="00644DE9" w:rsidP="005A1BCC">
      <w:pPr>
        <w:pStyle w:val="PlainText"/>
        <w:rPr>
          <w:rFonts w:asciiTheme="minorHAnsi" w:hAnsiTheme="minorHAnsi" w:cs="Arial"/>
          <w:szCs w:val="22"/>
        </w:rPr>
      </w:pPr>
      <w:r>
        <w:rPr>
          <w:rFonts w:asciiTheme="minorHAnsi" w:hAnsiTheme="minorHAnsi" w:cs="Arial"/>
          <w:szCs w:val="22"/>
        </w:rPr>
        <w:t>Carolyn Cobbold</w:t>
      </w:r>
    </w:p>
    <w:p w14:paraId="2CDA06EC" w14:textId="24B4F3DF" w:rsidR="00644DE9" w:rsidRDefault="00644DE9" w:rsidP="005A1BCC">
      <w:pPr>
        <w:pStyle w:val="PlainText"/>
        <w:rPr>
          <w:rFonts w:asciiTheme="minorHAnsi" w:hAnsiTheme="minorHAnsi" w:cs="Arial"/>
          <w:szCs w:val="22"/>
        </w:rPr>
      </w:pPr>
      <w:r>
        <w:rPr>
          <w:rFonts w:asciiTheme="minorHAnsi" w:hAnsiTheme="minorHAnsi" w:cs="Arial"/>
          <w:szCs w:val="22"/>
        </w:rPr>
        <w:t>Jenny Bentall</w:t>
      </w:r>
    </w:p>
    <w:p w14:paraId="4CFC845C" w14:textId="6698D5B4" w:rsidR="00644DE9" w:rsidRDefault="00644DE9" w:rsidP="005A1BCC">
      <w:pPr>
        <w:pStyle w:val="PlainText"/>
        <w:rPr>
          <w:rFonts w:asciiTheme="minorHAnsi" w:hAnsiTheme="minorHAnsi" w:cs="Arial"/>
          <w:szCs w:val="22"/>
        </w:rPr>
      </w:pPr>
      <w:r>
        <w:rPr>
          <w:rFonts w:asciiTheme="minorHAnsi" w:hAnsiTheme="minorHAnsi" w:cs="Arial"/>
          <w:szCs w:val="22"/>
        </w:rPr>
        <w:t>Dick Pratt</w:t>
      </w:r>
    </w:p>
    <w:p w14:paraId="104B398E" w14:textId="7C14385A" w:rsidR="00644DE9" w:rsidRPr="00B20974" w:rsidRDefault="00A43BF6" w:rsidP="005A1BCC">
      <w:pPr>
        <w:pStyle w:val="PlainText"/>
        <w:rPr>
          <w:rFonts w:asciiTheme="minorHAnsi" w:hAnsiTheme="minorHAnsi" w:cs="Arial"/>
          <w:szCs w:val="22"/>
        </w:rPr>
      </w:pPr>
      <w:r>
        <w:rPr>
          <w:rFonts w:asciiTheme="minorHAnsi" w:hAnsiTheme="minorHAnsi" w:cs="Arial"/>
          <w:szCs w:val="22"/>
        </w:rPr>
        <w:t>30</w:t>
      </w:r>
      <w:r w:rsidR="00870A05">
        <w:rPr>
          <w:rFonts w:asciiTheme="minorHAnsi" w:hAnsiTheme="minorHAnsi" w:cs="Arial"/>
          <w:szCs w:val="22"/>
        </w:rPr>
        <w:t>/06/20</w:t>
      </w:r>
    </w:p>
    <w:p w14:paraId="01546EC8" w14:textId="77777777" w:rsidR="005A1BCC" w:rsidRPr="00B20974" w:rsidRDefault="005A1BCC" w:rsidP="005A1BCC">
      <w:pPr>
        <w:pStyle w:val="NormalWeb"/>
        <w:spacing w:before="0" w:beforeAutospacing="0" w:after="0" w:afterAutospacing="0"/>
        <w:rPr>
          <w:rFonts w:asciiTheme="minorHAnsi" w:hAnsiTheme="minorHAnsi"/>
          <w:sz w:val="22"/>
          <w:szCs w:val="22"/>
          <w:highlight w:val="yellow"/>
        </w:rPr>
      </w:pPr>
    </w:p>
    <w:p w14:paraId="19FE563B" w14:textId="77777777" w:rsidR="005A1BCC" w:rsidRPr="00B20974" w:rsidRDefault="005A1BCC" w:rsidP="00B34CA0">
      <w:pPr>
        <w:pStyle w:val="PlainText"/>
        <w:rPr>
          <w:rFonts w:asciiTheme="minorHAnsi" w:hAnsiTheme="minorHAnsi"/>
          <w:szCs w:val="22"/>
        </w:rPr>
      </w:pPr>
    </w:p>
    <w:p w14:paraId="567B80CC" w14:textId="77777777" w:rsidR="00BC1550" w:rsidRPr="00B20974" w:rsidRDefault="00BC1550" w:rsidP="00B34CA0">
      <w:pPr>
        <w:pStyle w:val="PlainText"/>
        <w:rPr>
          <w:rFonts w:asciiTheme="minorHAnsi" w:hAnsiTheme="minorHAnsi"/>
          <w:szCs w:val="22"/>
        </w:rPr>
      </w:pPr>
    </w:p>
    <w:p w14:paraId="5B090366" w14:textId="77777777" w:rsidR="00BC1550" w:rsidRPr="00B20974" w:rsidRDefault="00BC1550" w:rsidP="00B34CA0">
      <w:pPr>
        <w:pStyle w:val="PlainText"/>
        <w:rPr>
          <w:rFonts w:asciiTheme="minorHAnsi" w:hAnsiTheme="minorHAnsi"/>
          <w:szCs w:val="22"/>
        </w:rPr>
      </w:pPr>
    </w:p>
    <w:p w14:paraId="302587C7" w14:textId="77777777" w:rsidR="00BC1550" w:rsidRPr="00B20974" w:rsidRDefault="00BC1550" w:rsidP="00B34CA0">
      <w:pPr>
        <w:rPr>
          <w:rFonts w:eastAsia="Times New Roman" w:cs="Arial"/>
          <w:sz w:val="22"/>
          <w:szCs w:val="22"/>
          <w:shd w:val="clear" w:color="auto" w:fill="FFFFFF"/>
          <w:lang w:eastAsia="en-GB"/>
        </w:rPr>
      </w:pPr>
    </w:p>
    <w:p w14:paraId="47715351" w14:textId="77777777" w:rsidR="00532862" w:rsidRPr="00B20974" w:rsidRDefault="00532862" w:rsidP="00B34CA0">
      <w:pPr>
        <w:rPr>
          <w:sz w:val="22"/>
          <w:szCs w:val="22"/>
        </w:rPr>
      </w:pPr>
    </w:p>
    <w:sectPr w:rsidR="00532862" w:rsidRPr="00B20974" w:rsidSect="000810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34495" w14:textId="77777777" w:rsidR="008D5B4D" w:rsidRDefault="008D5B4D" w:rsidP="004679FA">
      <w:r>
        <w:separator/>
      </w:r>
    </w:p>
  </w:endnote>
  <w:endnote w:type="continuationSeparator" w:id="0">
    <w:p w14:paraId="41FA49C8" w14:textId="77777777" w:rsidR="008D5B4D" w:rsidRDefault="008D5B4D" w:rsidP="0046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96EA0" w14:textId="77777777" w:rsidR="008D5B4D" w:rsidRDefault="008D5B4D" w:rsidP="004679FA">
      <w:r>
        <w:separator/>
      </w:r>
    </w:p>
  </w:footnote>
  <w:footnote w:type="continuationSeparator" w:id="0">
    <w:p w14:paraId="0B85E919" w14:textId="77777777" w:rsidR="008D5B4D" w:rsidRDefault="008D5B4D" w:rsidP="004679FA">
      <w:r>
        <w:continuationSeparator/>
      </w:r>
    </w:p>
  </w:footnote>
  <w:footnote w:id="1">
    <w:p w14:paraId="02EF84DD" w14:textId="77777777" w:rsidR="00242BB3" w:rsidRDefault="00242BB3" w:rsidP="00242BB3">
      <w:pPr>
        <w:pStyle w:val="FootnoteText"/>
        <w:rPr>
          <w:rStyle w:val="Hyperlink"/>
        </w:rPr>
      </w:pPr>
      <w:r>
        <w:rPr>
          <w:rStyle w:val="FootnoteReference"/>
        </w:rPr>
        <w:footnoteRef/>
      </w:r>
      <w:r>
        <w:t xml:space="preserve"> The Memorandum of Understanding between SDNP and CDC (April 2018) asserted a figure of 67.1%  </w:t>
      </w:r>
      <w:hyperlink r:id="rId1" w:history="1">
        <w:r>
          <w:rPr>
            <w:rStyle w:val="Hyperlink"/>
          </w:rPr>
          <w:t>ttps://www.southdowns.gov.uk/wp-content/uploads/2018/04/SCG05-Chichester.pdf</w:t>
        </w:r>
      </w:hyperlink>
      <w:r>
        <w:rPr>
          <w:rStyle w:val="Hyperlink"/>
        </w:rPr>
        <w:t>,</w:t>
      </w:r>
    </w:p>
    <w:p w14:paraId="39C8BA5F" w14:textId="77777777" w:rsidR="00242BB3" w:rsidRDefault="00242BB3" w:rsidP="00242BB3">
      <w:pPr>
        <w:pStyle w:val="FootnoteText"/>
      </w:pPr>
      <w:r>
        <w:t xml:space="preserve">However the measurements of the AONB within CD were calculated by Nick Pyke, qualified Landscape Architect, MLI (retired) </w:t>
      </w:r>
      <w:proofErr w:type="gramStart"/>
      <w:r>
        <w:t>2020.,</w:t>
      </w:r>
      <w:proofErr w:type="gramEnd"/>
    </w:p>
    <w:p w14:paraId="64A2AF2B" w14:textId="77777777" w:rsidR="00242BB3" w:rsidRDefault="00242BB3" w:rsidP="00242BB3">
      <w:pPr>
        <w:rPr>
          <w:sz w:val="20"/>
          <w:szCs w:val="20"/>
        </w:rPr>
      </w:pPr>
    </w:p>
    <w:p w14:paraId="5027019A" w14:textId="77777777" w:rsidR="00242BB3" w:rsidRDefault="00242BB3" w:rsidP="00242BB3">
      <w:pPr>
        <w:pStyle w:val="FootnoteText"/>
      </w:pPr>
    </w:p>
  </w:footnote>
  <w:footnote w:id="2">
    <w:p w14:paraId="3F9796B9" w14:textId="77777777" w:rsidR="00993AE9" w:rsidRPr="00852F69" w:rsidRDefault="00993AE9" w:rsidP="00993AE9">
      <w:pPr>
        <w:pStyle w:val="FootnoteText"/>
      </w:pPr>
      <w:r w:rsidRPr="00852F69">
        <w:rPr>
          <w:rStyle w:val="FootnoteReference"/>
        </w:rPr>
        <w:footnoteRef/>
      </w:r>
      <w:r w:rsidRPr="00852F69">
        <w:t xml:space="preserve"> </w:t>
      </w:r>
      <w:hyperlink r:id="rId2" w:history="1">
        <w:r w:rsidRPr="00852F69">
          <w:rPr>
            <w:rStyle w:val="Hyperlink"/>
          </w:rPr>
          <w:t>https://www.gov.uk/government/news/environment-agency-publishes-new-evidence-to-plan-for-flood-and-coastal-risk-up-to-2065</w:t>
        </w:r>
      </w:hyperlink>
      <w:r w:rsidRPr="00852F69">
        <w:t xml:space="preserve">  https://www.gov.uk/government/publications/flood-and-coastal-risk-management-in-england-long-term-investment/long-term-investment-scenarios-ltis-2019</w:t>
      </w:r>
    </w:p>
  </w:footnote>
  <w:footnote w:id="3">
    <w:p w14:paraId="357E194A" w14:textId="77777777" w:rsidR="00993AE9" w:rsidRPr="00852F69" w:rsidRDefault="00993AE9" w:rsidP="00993AE9">
      <w:pPr>
        <w:pStyle w:val="NormalWeb"/>
        <w:spacing w:before="0" w:beforeAutospacing="0" w:after="0" w:afterAutospacing="0"/>
        <w:rPr>
          <w:rFonts w:asciiTheme="minorHAnsi" w:hAnsiTheme="minorHAnsi" w:cs="Arial"/>
          <w:color w:val="222222"/>
          <w:sz w:val="20"/>
          <w:szCs w:val="20"/>
        </w:rPr>
      </w:pPr>
      <w:r w:rsidRPr="00852F69">
        <w:rPr>
          <w:rStyle w:val="FootnoteReference"/>
          <w:rFonts w:asciiTheme="minorHAnsi" w:hAnsiTheme="minorHAnsi"/>
          <w:sz w:val="20"/>
          <w:szCs w:val="20"/>
        </w:rPr>
        <w:footnoteRef/>
      </w:r>
      <w:r w:rsidRPr="00852F69">
        <w:rPr>
          <w:rFonts w:asciiTheme="minorHAnsi" w:hAnsiTheme="minorHAnsi"/>
          <w:sz w:val="20"/>
          <w:szCs w:val="20"/>
        </w:rPr>
        <w:t xml:space="preserve"> </w:t>
      </w:r>
      <w:hyperlink r:id="rId3" w:tgtFrame="_blank" w:history="1">
        <w:r w:rsidRPr="00852F69">
          <w:rPr>
            <w:rStyle w:val="Hyperlink"/>
            <w:rFonts w:asciiTheme="minorHAnsi" w:hAnsiTheme="minorHAnsi" w:cs="Arial"/>
            <w:color w:val="1155CC"/>
            <w:sz w:val="20"/>
            <w:szCs w:val="20"/>
          </w:rPr>
          <w:t>https://publications.parliament.uk/pa/cm201920/cmselect/cmenvfru/56/56.pdf</w:t>
        </w:r>
      </w:hyperlink>
    </w:p>
    <w:p w14:paraId="3E9B4B45" w14:textId="4C8DFD28" w:rsidR="00993AE9" w:rsidRPr="00852F69" w:rsidRDefault="00242BB3" w:rsidP="00993AE9">
      <w:pPr>
        <w:pStyle w:val="NormalWeb"/>
        <w:spacing w:before="0" w:beforeAutospacing="0" w:after="0" w:afterAutospacing="0"/>
        <w:rPr>
          <w:rFonts w:asciiTheme="minorHAnsi" w:hAnsiTheme="minorHAnsi" w:cs="Arial"/>
          <w:color w:val="222222"/>
          <w:sz w:val="20"/>
          <w:szCs w:val="20"/>
        </w:rPr>
      </w:pPr>
      <w:hyperlink r:id="rId4" w:history="1">
        <w:r w:rsidR="00A43BF6" w:rsidRPr="00AA7138">
          <w:rPr>
            <w:rStyle w:val="Hyperlink"/>
            <w:rFonts w:asciiTheme="minorHAnsi" w:hAnsiTheme="minorHAnsi" w:cs="Arial"/>
            <w:sz w:val="20"/>
            <w:szCs w:val="20"/>
          </w:rPr>
          <w:t>https://www.parliament.uk/business/committees/committees-a-z/commons-select/environment-food-and-rural-affairs-committee/inquiries/parliament-2017/coastal-flooding-and-adaptation-to-climate-change-17-19/</w:t>
        </w:r>
      </w:hyperlink>
    </w:p>
    <w:p w14:paraId="25B89816" w14:textId="77777777" w:rsidR="00993AE9" w:rsidRPr="00852F69" w:rsidRDefault="00993AE9" w:rsidP="00993AE9">
      <w:pPr>
        <w:pStyle w:val="FootnoteText"/>
      </w:pPr>
    </w:p>
  </w:footnote>
  <w:footnote w:id="4">
    <w:p w14:paraId="33A53170" w14:textId="77777777" w:rsidR="00892B1B" w:rsidRPr="00852F69" w:rsidRDefault="00892B1B" w:rsidP="00892B1B">
      <w:pPr>
        <w:rPr>
          <w:sz w:val="20"/>
          <w:szCs w:val="20"/>
        </w:rPr>
      </w:pPr>
      <w:r w:rsidRPr="00852F69">
        <w:rPr>
          <w:rStyle w:val="FootnoteReference"/>
          <w:sz w:val="20"/>
          <w:szCs w:val="20"/>
        </w:rPr>
        <w:footnoteRef/>
      </w:r>
      <w:r w:rsidRPr="00852F69">
        <w:rPr>
          <w:sz w:val="20"/>
          <w:szCs w:val="20"/>
        </w:rPr>
        <w:t xml:space="preserve"> Measurements of the area above and below the 7m height within the parish of Bosham was calculated by Nick Pyke, qualified Landscape Architect, MLI (retired) 2020</w:t>
      </w:r>
    </w:p>
    <w:p w14:paraId="4DB747C0" w14:textId="74E5EC3F" w:rsidR="00892B1B" w:rsidRPr="00852F69" w:rsidRDefault="00892B1B">
      <w:pPr>
        <w:pStyle w:val="FootnoteText"/>
      </w:pPr>
    </w:p>
  </w:footnote>
  <w:footnote w:id="5">
    <w:p w14:paraId="5D71713C" w14:textId="77777777" w:rsidR="00040DAE" w:rsidRPr="00852F69" w:rsidRDefault="00040DAE" w:rsidP="00040DAE">
      <w:pPr>
        <w:pStyle w:val="NormalWeb"/>
        <w:spacing w:before="0" w:beforeAutospacing="0" w:after="0" w:afterAutospacing="0"/>
        <w:rPr>
          <w:rFonts w:asciiTheme="minorHAnsi" w:hAnsiTheme="minorHAnsi" w:cs="Arial"/>
          <w:color w:val="222222"/>
          <w:sz w:val="20"/>
          <w:szCs w:val="20"/>
        </w:rPr>
      </w:pPr>
      <w:r w:rsidRPr="00852F69">
        <w:rPr>
          <w:rStyle w:val="FootnoteReference"/>
          <w:rFonts w:asciiTheme="minorHAnsi" w:hAnsiTheme="minorHAnsi"/>
          <w:sz w:val="20"/>
          <w:szCs w:val="20"/>
        </w:rPr>
        <w:footnoteRef/>
      </w:r>
      <w:r w:rsidRPr="00852F69">
        <w:rPr>
          <w:rFonts w:asciiTheme="minorHAnsi" w:hAnsiTheme="minorHAnsi"/>
          <w:sz w:val="20"/>
          <w:szCs w:val="20"/>
        </w:rPr>
        <w:t xml:space="preserve"> </w:t>
      </w:r>
      <w:hyperlink r:id="rId5" w:tgtFrame="_blank" w:history="1">
        <w:r w:rsidRPr="00852F69">
          <w:rPr>
            <w:rStyle w:val="Hyperlink"/>
            <w:rFonts w:asciiTheme="minorHAnsi" w:hAnsiTheme="minorHAnsi" w:cs="Arial"/>
            <w:color w:val="1155CC"/>
            <w:sz w:val="20"/>
            <w:szCs w:val="20"/>
          </w:rPr>
          <w:t>https://www.carbonbrief.org/restoring-soils-could-remove-up-to-5-5bn-tonnes-of-greenhouse-gases-every-year</w:t>
        </w:r>
      </w:hyperlink>
    </w:p>
    <w:p w14:paraId="6412054E" w14:textId="77777777" w:rsidR="00040DAE" w:rsidRPr="00852F69" w:rsidRDefault="00040DAE" w:rsidP="00040DAE">
      <w:pPr>
        <w:pStyle w:val="FootnoteText"/>
        <w:rPr>
          <w:rFonts w:cs="Arial"/>
        </w:rPr>
      </w:pPr>
    </w:p>
  </w:footnote>
  <w:footnote w:id="6">
    <w:p w14:paraId="208372E9" w14:textId="77777777" w:rsidR="00D72BC3" w:rsidRPr="00852F69" w:rsidRDefault="00D72BC3" w:rsidP="00D72BC3">
      <w:pPr>
        <w:pStyle w:val="FootnoteText"/>
      </w:pPr>
      <w:r w:rsidRPr="00852F69">
        <w:rPr>
          <w:rStyle w:val="FootnoteReference"/>
        </w:rPr>
        <w:footnoteRef/>
      </w:r>
      <w:r w:rsidRPr="00852F69">
        <w:t xml:space="preserve"> http://www.chichester.gov.uk/CHttpHandler.ashx?id=24307&amp;p=0</w:t>
      </w:r>
    </w:p>
  </w:footnote>
  <w:footnote w:id="7">
    <w:p w14:paraId="6DDC0532" w14:textId="77777777" w:rsidR="00D72BC3" w:rsidRPr="00852F69" w:rsidRDefault="00D72BC3" w:rsidP="00D72BC3">
      <w:pPr>
        <w:pStyle w:val="FootnoteText"/>
      </w:pPr>
      <w:r w:rsidRPr="00852F69">
        <w:rPr>
          <w:rStyle w:val="FootnoteReference"/>
        </w:rPr>
        <w:footnoteRef/>
      </w:r>
      <w:r w:rsidRPr="00852F69">
        <w:t xml:space="preserve"> </w:t>
      </w:r>
      <w:hyperlink r:id="rId6" w:anchor="table-3" w:history="1">
        <w:r w:rsidRPr="00852F69">
          <w:rPr>
            <w:rStyle w:val="Hyperlink"/>
          </w:rPr>
          <w:t>https://www.gov.uk/guidance/flood-risk-assessments-climate-change-allowances#table-3</w:t>
        </w:r>
      </w:hyperlink>
      <w:r w:rsidRPr="00852F69">
        <w:t xml:space="preserve"> </w:t>
      </w:r>
      <w:hyperlink r:id="rId7" w:anchor="12/50.7693/-0.8715?show=satellite&amp;projections=1-K14_RCP85-SLR&amp;level=3&amp;unit=meters&amp;pois=hide" w:history="1">
        <w:r w:rsidRPr="00852F69">
          <w:rPr>
            <w:rStyle w:val="Hyperlink"/>
          </w:rPr>
          <w:t>https://ss2.climatecentral.org/#12/50.7693/-0.8715?show=satellite&amp;projections=1-K14_RCP85-SLR&amp;level=3&amp;unit=meters&amp;pois=hide</w:t>
        </w:r>
      </w:hyperlink>
    </w:p>
    <w:p w14:paraId="2CC043FB" w14:textId="77777777" w:rsidR="00D72BC3" w:rsidRPr="00852F69" w:rsidRDefault="00D72BC3" w:rsidP="00D72BC3">
      <w:pPr>
        <w:pStyle w:val="FootnoteText"/>
      </w:pPr>
    </w:p>
  </w:footnote>
  <w:footnote w:id="8">
    <w:p w14:paraId="66FCAE8D" w14:textId="77777777" w:rsidR="00D72BC3" w:rsidRPr="00852F69" w:rsidRDefault="00D72BC3" w:rsidP="00D72BC3">
      <w:pPr>
        <w:pStyle w:val="NormalWeb"/>
        <w:spacing w:before="0" w:beforeAutospacing="0" w:after="0" w:afterAutospacing="0"/>
        <w:rPr>
          <w:rFonts w:asciiTheme="minorHAnsi" w:hAnsiTheme="minorHAnsi" w:cs="Arial"/>
          <w:color w:val="222222"/>
          <w:sz w:val="20"/>
          <w:szCs w:val="20"/>
        </w:rPr>
      </w:pPr>
      <w:r w:rsidRPr="00852F69">
        <w:rPr>
          <w:rStyle w:val="FootnoteReference"/>
          <w:rFonts w:asciiTheme="minorHAnsi" w:hAnsiTheme="minorHAnsi"/>
          <w:sz w:val="20"/>
          <w:szCs w:val="20"/>
        </w:rPr>
        <w:footnoteRef/>
      </w:r>
      <w:r w:rsidRPr="00852F69">
        <w:rPr>
          <w:rFonts w:asciiTheme="minorHAnsi" w:hAnsiTheme="minorHAnsi"/>
          <w:sz w:val="20"/>
          <w:szCs w:val="20"/>
        </w:rPr>
        <w:t xml:space="preserve"> </w:t>
      </w:r>
      <w:hyperlink r:id="rId8" w:tgtFrame="_blank" w:history="1">
        <w:r w:rsidRPr="00852F69">
          <w:rPr>
            <w:rStyle w:val="Hyperlink"/>
            <w:rFonts w:asciiTheme="minorHAnsi" w:hAnsiTheme="minorHAnsi" w:cs="Arial"/>
            <w:color w:val="1155CC"/>
            <w:sz w:val="20"/>
            <w:szCs w:val="20"/>
          </w:rPr>
          <w:t>http://lup.lub.lu.se/luur/download?func=downloadFile&amp;recordOId=8937311&amp;fileOId=8937312</w:t>
        </w:r>
      </w:hyperlink>
    </w:p>
    <w:p w14:paraId="06C1442C" w14:textId="77777777" w:rsidR="00D72BC3" w:rsidRPr="00852F69" w:rsidRDefault="00D72BC3" w:rsidP="00D72BC3">
      <w:pPr>
        <w:pStyle w:val="FootnoteText"/>
      </w:pPr>
    </w:p>
  </w:footnote>
  <w:footnote w:id="9">
    <w:p w14:paraId="3F610382" w14:textId="77777777" w:rsidR="00D72BC3" w:rsidRPr="00852F69" w:rsidRDefault="00D72BC3" w:rsidP="00D72BC3">
      <w:pPr>
        <w:autoSpaceDE w:val="0"/>
        <w:autoSpaceDN w:val="0"/>
        <w:adjustRightInd w:val="0"/>
        <w:rPr>
          <w:rFonts w:cs="Arial"/>
          <w:sz w:val="20"/>
          <w:szCs w:val="20"/>
        </w:rPr>
      </w:pPr>
      <w:r w:rsidRPr="00852F69">
        <w:rPr>
          <w:rStyle w:val="FootnoteReference"/>
          <w:sz w:val="20"/>
          <w:szCs w:val="20"/>
        </w:rPr>
        <w:footnoteRef/>
      </w:r>
      <w:r w:rsidRPr="00852F69">
        <w:rPr>
          <w:sz w:val="20"/>
          <w:szCs w:val="20"/>
        </w:rPr>
        <w:t xml:space="preserve"> </w:t>
      </w:r>
      <w:r w:rsidRPr="00852F69">
        <w:rPr>
          <w:rFonts w:cs="Arial"/>
          <w:sz w:val="20"/>
          <w:szCs w:val="20"/>
        </w:rPr>
        <w:t xml:space="preserve">[13] R. E. Kopp, R. M. Horton, C. M. Little, J. X. Mitrovica, M. Oppenheimer, D. J. Rasmussen, B. H. Strauss, </w:t>
      </w:r>
      <w:proofErr w:type="spellStart"/>
      <w:r w:rsidRPr="00852F69">
        <w:rPr>
          <w:rFonts w:cs="Arial"/>
          <w:sz w:val="20"/>
          <w:szCs w:val="20"/>
        </w:rPr>
        <w:t>andC</w:t>
      </w:r>
      <w:proofErr w:type="spellEnd"/>
      <w:r w:rsidRPr="00852F69">
        <w:rPr>
          <w:rFonts w:cs="Arial"/>
          <w:sz w:val="20"/>
          <w:szCs w:val="20"/>
        </w:rPr>
        <w:t xml:space="preserve">. Tebaldi, “Probabilistic 21st and 22nd century sea-level projections at a global network of tide-gauge sites," </w:t>
      </w:r>
      <w:r w:rsidRPr="00852F69">
        <w:rPr>
          <w:rFonts w:cs="Arial"/>
          <w:i/>
          <w:iCs/>
          <w:sz w:val="20"/>
          <w:szCs w:val="20"/>
        </w:rPr>
        <w:t>Earth's Future</w:t>
      </w:r>
      <w:r w:rsidRPr="00852F69">
        <w:rPr>
          <w:rFonts w:cs="Arial"/>
          <w:sz w:val="20"/>
          <w:szCs w:val="20"/>
        </w:rPr>
        <w:t xml:space="preserve"> , vol. 2, no. 8, pp. 383-406; Chichester District Council Level 1 Strategic Flood Risk Assessment; M. Buchanan, R. Kopp, M. Oppenheimer, and C. </w:t>
      </w:r>
      <w:proofErr w:type="spellStart"/>
      <w:r w:rsidRPr="00852F69">
        <w:rPr>
          <w:rFonts w:cs="Arial"/>
          <w:sz w:val="20"/>
          <w:szCs w:val="20"/>
        </w:rPr>
        <w:t>Te</w:t>
      </w:r>
      <w:proofErr w:type="spellEnd"/>
      <w:r w:rsidRPr="00852F69">
        <w:rPr>
          <w:rFonts w:cs="Arial"/>
          <w:sz w:val="20"/>
          <w:szCs w:val="20"/>
        </w:rPr>
        <w:t>-</w:t>
      </w:r>
    </w:p>
    <w:p w14:paraId="07D05C8F" w14:textId="77777777" w:rsidR="00D72BC3" w:rsidRPr="00852F69" w:rsidRDefault="00D72BC3" w:rsidP="00D72BC3">
      <w:pPr>
        <w:autoSpaceDE w:val="0"/>
        <w:autoSpaceDN w:val="0"/>
        <w:adjustRightInd w:val="0"/>
        <w:rPr>
          <w:rFonts w:cs="Arial"/>
          <w:sz w:val="20"/>
          <w:szCs w:val="20"/>
        </w:rPr>
      </w:pPr>
      <w:proofErr w:type="spellStart"/>
      <w:r w:rsidRPr="00852F69">
        <w:rPr>
          <w:rFonts w:cs="Arial"/>
          <w:sz w:val="20"/>
          <w:szCs w:val="20"/>
        </w:rPr>
        <w:t>baldi</w:t>
      </w:r>
      <w:proofErr w:type="spellEnd"/>
      <w:r w:rsidRPr="00852F69">
        <w:rPr>
          <w:rFonts w:cs="Arial"/>
          <w:sz w:val="20"/>
          <w:szCs w:val="20"/>
        </w:rPr>
        <w:t xml:space="preserve">, “Allowances for evolving coastal flood risk under uncertain local sea-level rise," </w:t>
      </w:r>
      <w:r w:rsidRPr="00852F69">
        <w:rPr>
          <w:rFonts w:cs="Arial"/>
          <w:i/>
          <w:iCs/>
          <w:sz w:val="20"/>
          <w:szCs w:val="20"/>
        </w:rPr>
        <w:t>Climatic Change</w:t>
      </w:r>
      <w:r w:rsidRPr="00852F69">
        <w:rPr>
          <w:rFonts w:cs="Arial"/>
          <w:sz w:val="20"/>
          <w:szCs w:val="20"/>
        </w:rPr>
        <w:t xml:space="preserve"> ,vol. 137, 10,  2016; Joseph Lockwood, Department of Geoscience, Princeton University, USA; Department of Atmospheric and Oceanic Science, McGill University, CA, </w:t>
      </w:r>
      <w:r w:rsidRPr="00852F69">
        <w:rPr>
          <w:rFonts w:cs="Arial"/>
          <w:i/>
          <w:iCs/>
          <w:sz w:val="20"/>
          <w:szCs w:val="20"/>
        </w:rPr>
        <w:t>Future Sea Level Rise and Flood Risk in Chichester District</w:t>
      </w:r>
    </w:p>
  </w:footnote>
  <w:footnote w:id="10">
    <w:p w14:paraId="3F37096A" w14:textId="77777777" w:rsidR="008F6360" w:rsidRPr="00852F69" w:rsidRDefault="008F6360" w:rsidP="008F6360">
      <w:pPr>
        <w:pStyle w:val="FootnoteText"/>
      </w:pPr>
      <w:r w:rsidRPr="00852F69">
        <w:rPr>
          <w:rStyle w:val="FootnoteReference"/>
          <w:rFonts w:cs="Arial"/>
        </w:rPr>
        <w:footnoteRef/>
      </w:r>
      <w:r w:rsidRPr="00852F69">
        <w:rPr>
          <w:rFonts w:cs="Arial"/>
        </w:rPr>
        <w:t xml:space="preserve"> </w:t>
      </w:r>
      <w:r w:rsidRPr="00852F69">
        <w:rPr>
          <w:rFonts w:cs="Arial"/>
          <w:i/>
          <w:iCs/>
        </w:rPr>
        <w:t xml:space="preserve">Going Dutch on the Manhood Peninsula, </w:t>
      </w:r>
      <w:r w:rsidRPr="00852F69">
        <w:rPr>
          <w:rFonts w:cs="Arial"/>
        </w:rPr>
        <w:t xml:space="preserve">West Sussex County Council and </w:t>
      </w:r>
      <w:proofErr w:type="spellStart"/>
      <w:r w:rsidRPr="00852F69">
        <w:rPr>
          <w:rFonts w:cs="Arial"/>
        </w:rPr>
        <w:t>Nirov</w:t>
      </w:r>
      <w:proofErr w:type="spellEnd"/>
      <w:r w:rsidRPr="00852F69">
        <w:rPr>
          <w:rFonts w:cs="Arial"/>
        </w:rPr>
        <w:t>, the Netherlands Institute for Planning and Housing, 2001, p 27</w:t>
      </w:r>
      <w:r w:rsidRPr="00852F69">
        <w:t xml:space="preserve"> </w:t>
      </w:r>
    </w:p>
  </w:footnote>
  <w:footnote w:id="11">
    <w:p w14:paraId="3D710CE3" w14:textId="77777777" w:rsidR="008F6360" w:rsidRPr="00852F69" w:rsidRDefault="008F6360" w:rsidP="008F6360">
      <w:pPr>
        <w:pStyle w:val="FootnoteText"/>
      </w:pPr>
      <w:r w:rsidRPr="00852F69">
        <w:rPr>
          <w:rStyle w:val="FootnoteReference"/>
        </w:rPr>
        <w:footnoteRef/>
      </w:r>
      <w:r w:rsidRPr="00852F69">
        <w:t xml:space="preserve"> </w:t>
      </w:r>
      <w:hyperlink r:id="rId9" w:history="1">
        <w:r w:rsidRPr="00852F69">
          <w:rPr>
            <w:rStyle w:val="Hyperlink"/>
          </w:rPr>
          <w:t>https://www.climatecentral.org/news/ipcc-predictions-then-versus-now-15340</w:t>
        </w:r>
      </w:hyperlink>
      <w:r w:rsidRPr="00852F69">
        <w:t xml:space="preserve">; </w:t>
      </w:r>
      <w:hyperlink r:id="rId10" w:history="1">
        <w:r w:rsidRPr="00852F69">
          <w:rPr>
            <w:rStyle w:val="Hyperlink"/>
          </w:rPr>
          <w:t>https://assets.publishing.service.gov.uk/government/uploads/system/uploads/attachment_data/file/827611/Exploratory_sea_level_projections_for_the_UK_to_2300_-_report.pdf</w:t>
        </w:r>
      </w:hyperlink>
      <w:r w:rsidRPr="00852F69">
        <w:t xml:space="preserve"> ; </w:t>
      </w:r>
    </w:p>
  </w:footnote>
  <w:footnote w:id="12">
    <w:p w14:paraId="35083117" w14:textId="77777777" w:rsidR="008F6360" w:rsidRPr="00852F69" w:rsidRDefault="008F6360" w:rsidP="008F6360">
      <w:pPr>
        <w:autoSpaceDE w:val="0"/>
        <w:autoSpaceDN w:val="0"/>
        <w:adjustRightInd w:val="0"/>
        <w:rPr>
          <w:rFonts w:cs="Times New Roman"/>
          <w:i/>
          <w:iCs/>
          <w:sz w:val="20"/>
          <w:szCs w:val="20"/>
        </w:rPr>
      </w:pPr>
      <w:r w:rsidRPr="00852F69">
        <w:rPr>
          <w:rStyle w:val="FootnoteReference"/>
          <w:sz w:val="20"/>
          <w:szCs w:val="20"/>
        </w:rPr>
        <w:footnoteRef/>
      </w:r>
      <w:r w:rsidRPr="00852F69">
        <w:rPr>
          <w:sz w:val="20"/>
          <w:szCs w:val="20"/>
        </w:rPr>
        <w:t xml:space="preserve"> </w:t>
      </w:r>
      <w:r w:rsidRPr="00852F69">
        <w:rPr>
          <w:rFonts w:cs="Times New Roman"/>
          <w:sz w:val="20"/>
          <w:szCs w:val="20"/>
        </w:rPr>
        <w:t xml:space="preserve"> Chichester district council level 1 strategic flood risk assessment; Joseph Lockwood, Department of Geoscience, Princeton University, USA; Department of Atmospheric and Oceanic Science, McGill University, CA, </w:t>
      </w:r>
      <w:r w:rsidRPr="00852F69">
        <w:rPr>
          <w:rFonts w:cs="Times New Roman"/>
          <w:i/>
          <w:iCs/>
          <w:sz w:val="20"/>
          <w:szCs w:val="20"/>
        </w:rPr>
        <w:t xml:space="preserve">Future Sea Level Rise and Flood Risk in Chichester District. </w:t>
      </w:r>
    </w:p>
  </w:footnote>
  <w:footnote w:id="13">
    <w:p w14:paraId="3BCFAEA5" w14:textId="77777777" w:rsidR="00E37EF6" w:rsidRPr="00852F69" w:rsidRDefault="00E37EF6" w:rsidP="00E37EF6">
      <w:pPr>
        <w:pStyle w:val="FootnoteText"/>
      </w:pPr>
      <w:r w:rsidRPr="00852F69">
        <w:rPr>
          <w:rStyle w:val="FootnoteReference"/>
        </w:rPr>
        <w:footnoteRef/>
      </w:r>
      <w:r w:rsidRPr="00852F69">
        <w:t xml:space="preserve"> </w:t>
      </w:r>
      <w:hyperlink r:id="rId11" w:history="1">
        <w:r w:rsidRPr="00852F69">
          <w:rPr>
            <w:rStyle w:val="Hyperlink"/>
          </w:rPr>
          <w:t>https://www.gov.uk/government/news/environment-agency-publishes-new-evidence-to-plan-for-flood-and-coastal-risk-up-to-2065</w:t>
        </w:r>
      </w:hyperlink>
      <w:r w:rsidRPr="00852F69">
        <w:t xml:space="preserve">  https://www.gov.uk/government/publications/flood-and-coastal-risk-management-in-england-long-term-investment/long-term-investment-scenarios-ltis-2019</w:t>
      </w:r>
    </w:p>
  </w:footnote>
  <w:footnote w:id="14">
    <w:p w14:paraId="13A634E6" w14:textId="51C63429" w:rsidR="006F4128" w:rsidRDefault="006F4128">
      <w:pPr>
        <w:pStyle w:val="FootnoteText"/>
      </w:pPr>
      <w:r>
        <w:rPr>
          <w:rStyle w:val="FootnoteReference"/>
        </w:rPr>
        <w:footnoteRef/>
      </w:r>
      <w:r>
        <w:t xml:space="preserve"> </w:t>
      </w:r>
      <w:hyperlink r:id="rId12" w:history="1">
        <w:r w:rsidRPr="005A6FA9">
          <w:rPr>
            <w:rStyle w:val="Hyperlink"/>
          </w:rPr>
          <w:t>https://www.conservancy.co.uk/assets/files/cms_item/613/d-Chichester_Harbour_protected_views_study_final_15-04-20-ySMHhe3XQO.pdf</w:t>
        </w:r>
      </w:hyperlink>
    </w:p>
    <w:p w14:paraId="7F1E6020" w14:textId="77777777" w:rsidR="006F4128" w:rsidRDefault="006F4128">
      <w:pPr>
        <w:pStyle w:val="FootnoteText"/>
      </w:pPr>
    </w:p>
  </w:footnote>
  <w:footnote w:id="15">
    <w:p w14:paraId="7F50FD42" w14:textId="77777777" w:rsidR="000056A7" w:rsidRPr="000056A7" w:rsidRDefault="000056A7" w:rsidP="000056A7">
      <w:pPr>
        <w:pStyle w:val="NormalWeb"/>
        <w:spacing w:before="0" w:beforeAutospacing="0" w:after="0" w:afterAutospacing="0"/>
        <w:rPr>
          <w:rFonts w:asciiTheme="minorHAnsi" w:hAnsiTheme="minorHAnsi" w:cs="Arial"/>
          <w:sz w:val="20"/>
          <w:szCs w:val="20"/>
        </w:rPr>
      </w:pPr>
      <w:r w:rsidRPr="000056A7">
        <w:rPr>
          <w:rStyle w:val="FootnoteReference"/>
        </w:rPr>
        <w:footnoteRef/>
      </w:r>
      <w:r w:rsidRPr="000056A7">
        <w:t xml:space="preserve"> </w:t>
      </w:r>
      <w:r w:rsidRPr="000056A7">
        <w:rPr>
          <w:rFonts w:asciiTheme="minorHAnsi" w:hAnsiTheme="minorHAnsi" w:cs="Arial"/>
          <w:sz w:val="20"/>
          <w:szCs w:val="20"/>
        </w:rPr>
        <w:t>An example of Roe Deer habitat de-fragmentation</w:t>
      </w:r>
    </w:p>
    <w:p w14:paraId="6110C430" w14:textId="77777777" w:rsidR="000056A7" w:rsidRPr="000056A7" w:rsidRDefault="00242BB3" w:rsidP="000056A7">
      <w:pPr>
        <w:pStyle w:val="NormalWeb"/>
        <w:spacing w:before="0" w:beforeAutospacing="0" w:after="0" w:afterAutospacing="0"/>
        <w:rPr>
          <w:rFonts w:asciiTheme="minorHAnsi" w:hAnsiTheme="minorHAnsi" w:cs="Arial"/>
          <w:sz w:val="20"/>
          <w:szCs w:val="20"/>
        </w:rPr>
      </w:pPr>
      <w:hyperlink r:id="rId13" w:history="1">
        <w:r w:rsidR="000056A7" w:rsidRPr="000056A7">
          <w:rPr>
            <w:rStyle w:val="Hyperlink"/>
            <w:rFonts w:asciiTheme="minorHAnsi" w:hAnsiTheme="minorHAnsi" w:cs="Arial"/>
            <w:color w:val="auto"/>
            <w:sz w:val="20"/>
            <w:szCs w:val="20"/>
          </w:rPr>
          <w:t>https://www.sciencedirect.com/science/article/abs/pii/S1439179115001188</w:t>
        </w:r>
      </w:hyperlink>
    </w:p>
    <w:p w14:paraId="2D113478" w14:textId="6AE8C817" w:rsidR="000056A7" w:rsidRDefault="000056A7">
      <w:pPr>
        <w:pStyle w:val="FootnoteText"/>
      </w:pPr>
    </w:p>
  </w:footnote>
  <w:footnote w:id="16">
    <w:p w14:paraId="29457C36" w14:textId="77777777" w:rsidR="000056A7" w:rsidRPr="000056A7" w:rsidRDefault="000056A7" w:rsidP="000056A7">
      <w:pPr>
        <w:pStyle w:val="NormalWeb"/>
        <w:spacing w:before="0" w:beforeAutospacing="0" w:after="0" w:afterAutospacing="0"/>
        <w:rPr>
          <w:rFonts w:asciiTheme="minorHAnsi" w:hAnsiTheme="minorHAnsi" w:cs="Arial"/>
          <w:sz w:val="20"/>
          <w:szCs w:val="20"/>
        </w:rPr>
      </w:pPr>
      <w:r w:rsidRPr="000056A7">
        <w:rPr>
          <w:rStyle w:val="FootnoteReference"/>
        </w:rPr>
        <w:footnoteRef/>
      </w:r>
      <w:r w:rsidRPr="000056A7">
        <w:t xml:space="preserve"> </w:t>
      </w:r>
      <w:r w:rsidRPr="000056A7">
        <w:rPr>
          <w:rFonts w:asciiTheme="minorHAnsi" w:hAnsiTheme="minorHAnsi" w:cs="Arial"/>
          <w:sz w:val="20"/>
          <w:szCs w:val="20"/>
        </w:rPr>
        <w:t>or more generally a sweep of the literature of studies of wildlife corridors in Europe:</w:t>
      </w:r>
    </w:p>
    <w:p w14:paraId="69BAF7C2" w14:textId="77777777" w:rsidR="000056A7" w:rsidRPr="00D061FE" w:rsidRDefault="00242BB3" w:rsidP="000056A7">
      <w:pPr>
        <w:pStyle w:val="NormalWeb"/>
        <w:spacing w:before="0" w:beforeAutospacing="0" w:after="0" w:afterAutospacing="0"/>
        <w:rPr>
          <w:rFonts w:asciiTheme="minorHAnsi" w:hAnsiTheme="minorHAnsi" w:cs="Arial"/>
          <w:sz w:val="20"/>
          <w:szCs w:val="20"/>
        </w:rPr>
      </w:pPr>
      <w:hyperlink r:id="rId14" w:history="1">
        <w:r w:rsidR="000056A7" w:rsidRPr="000056A7">
          <w:rPr>
            <w:rStyle w:val="Hyperlink"/>
            <w:rFonts w:asciiTheme="minorHAnsi" w:hAnsiTheme="minorHAnsi" w:cs="Arial"/>
            <w:color w:val="auto"/>
            <w:sz w:val="20"/>
            <w:szCs w:val="20"/>
          </w:rPr>
          <w:t>https://link.springer.com/chapter/10.1007/978-1-4613-0059-5_6</w:t>
        </w:r>
      </w:hyperlink>
    </w:p>
    <w:p w14:paraId="2BAD8FF9" w14:textId="0B4676BA" w:rsidR="000056A7" w:rsidRDefault="000056A7">
      <w:pPr>
        <w:pStyle w:val="FootnoteText"/>
      </w:pPr>
    </w:p>
  </w:footnote>
  <w:footnote w:id="17">
    <w:p w14:paraId="4D30AFF6" w14:textId="77777777" w:rsidR="00157F81" w:rsidRPr="00852F69" w:rsidRDefault="00157F81" w:rsidP="00157F81">
      <w:pPr>
        <w:pStyle w:val="NormalWeb"/>
        <w:spacing w:before="0" w:beforeAutospacing="0" w:after="0" w:afterAutospacing="0"/>
        <w:rPr>
          <w:rFonts w:asciiTheme="minorHAnsi" w:hAnsiTheme="minorHAnsi" w:cs="Arial"/>
          <w:color w:val="222222"/>
          <w:sz w:val="20"/>
          <w:szCs w:val="20"/>
        </w:rPr>
      </w:pPr>
      <w:r w:rsidRPr="00852F69">
        <w:rPr>
          <w:rStyle w:val="FootnoteReference"/>
          <w:rFonts w:asciiTheme="minorHAnsi" w:hAnsiTheme="minorHAnsi"/>
          <w:sz w:val="20"/>
          <w:szCs w:val="20"/>
        </w:rPr>
        <w:footnoteRef/>
      </w:r>
      <w:r w:rsidRPr="00852F69">
        <w:rPr>
          <w:rFonts w:asciiTheme="minorHAnsi" w:hAnsiTheme="minorHAnsi"/>
          <w:sz w:val="20"/>
          <w:szCs w:val="20"/>
        </w:rPr>
        <w:t xml:space="preserve"> </w:t>
      </w:r>
      <w:hyperlink r:id="rId15" w:tgtFrame="_blank" w:history="1">
        <w:r w:rsidRPr="00852F69">
          <w:rPr>
            <w:rStyle w:val="Hyperlink"/>
            <w:rFonts w:asciiTheme="minorHAnsi" w:hAnsiTheme="minorHAnsi" w:cs="Arial"/>
            <w:color w:val="1155CC"/>
            <w:sz w:val="20"/>
            <w:szCs w:val="20"/>
          </w:rPr>
          <w:t>https://www.carbonbrief.org/restoring-soils-could-remove-up-to-5-5bn-tonnes-of-greenhouse-gases-every-year</w:t>
        </w:r>
      </w:hyperlink>
    </w:p>
    <w:p w14:paraId="5FDB560B" w14:textId="77777777" w:rsidR="00157F81" w:rsidRPr="00852F69" w:rsidRDefault="00157F81" w:rsidP="00157F81">
      <w:pPr>
        <w:pStyle w:val="FootnoteText"/>
        <w:rPr>
          <w:rFonts w:cs="Arial"/>
        </w:rPr>
      </w:pPr>
    </w:p>
  </w:footnote>
  <w:footnote w:id="18">
    <w:p w14:paraId="65D99E2E" w14:textId="0C95DBA0" w:rsidR="009E680F" w:rsidRPr="00852F69" w:rsidRDefault="009E680F">
      <w:pPr>
        <w:pStyle w:val="FootnoteText"/>
      </w:pPr>
      <w:r w:rsidRPr="00852F69">
        <w:rPr>
          <w:rStyle w:val="FootnoteReference"/>
        </w:rPr>
        <w:footnoteRef/>
      </w:r>
      <w:r w:rsidR="00E467AF" w:rsidRPr="00852F69">
        <w:t xml:space="preserve"> </w:t>
      </w:r>
      <w:hyperlink r:id="rId16" w:history="1">
        <w:r w:rsidR="00ED2729" w:rsidRPr="00852F69">
          <w:rPr>
            <w:rStyle w:val="Hyperlink"/>
          </w:rPr>
          <w:t>https://assets.publishing.service.gov.uk/government/uploads/system/uploads/attachment_data/file/835536/Future_Homes_Standard_Consultation_Oct_2019.pdf</w:t>
        </w:r>
      </w:hyperlink>
    </w:p>
    <w:p w14:paraId="3D326BB6" w14:textId="77777777" w:rsidR="009E680F" w:rsidRPr="00852F69" w:rsidRDefault="009E680F">
      <w:pPr>
        <w:pStyle w:val="FootnoteText"/>
      </w:pPr>
    </w:p>
  </w:footnote>
  <w:footnote w:id="19">
    <w:p w14:paraId="49CBCB77" w14:textId="7C2CC4FE" w:rsidR="009E680F" w:rsidRPr="00852F69" w:rsidRDefault="009E680F" w:rsidP="009E680F">
      <w:pPr>
        <w:pStyle w:val="FootnoteText"/>
      </w:pPr>
      <w:r w:rsidRPr="00852F69">
        <w:rPr>
          <w:rStyle w:val="FootnoteReference"/>
        </w:rPr>
        <w:footnoteRef/>
      </w:r>
      <w:r w:rsidRPr="00852F69">
        <w:t xml:space="preserve"> </w:t>
      </w:r>
      <w:hyperlink r:id="rId17" w:history="1">
        <w:r w:rsidRPr="00852F69">
          <w:rPr>
            <w:rStyle w:val="Hyperlink"/>
          </w:rPr>
          <w:t>https://www.gov.uk/government/news/environment-agency-publishes-new-evidence-to-plan-for-flood-and-coastal-risk-up-to-2065</w:t>
        </w:r>
      </w:hyperlink>
      <w:r w:rsidRPr="00852F69">
        <w:t xml:space="preserve">  </w:t>
      </w:r>
    </w:p>
  </w:footnote>
  <w:footnote w:id="20">
    <w:p w14:paraId="110A7D6F" w14:textId="77777777" w:rsidR="0094551D" w:rsidRPr="00852F69" w:rsidRDefault="0094551D" w:rsidP="0094551D">
      <w:pPr>
        <w:pStyle w:val="NormalWeb"/>
        <w:spacing w:before="0" w:beforeAutospacing="0" w:after="0" w:afterAutospacing="0"/>
        <w:rPr>
          <w:rFonts w:asciiTheme="minorHAnsi" w:hAnsiTheme="minorHAnsi" w:cs="Arial"/>
          <w:sz w:val="20"/>
          <w:szCs w:val="20"/>
        </w:rPr>
      </w:pPr>
      <w:r w:rsidRPr="00852F69">
        <w:rPr>
          <w:rStyle w:val="FootnoteReference"/>
          <w:rFonts w:asciiTheme="minorHAnsi" w:hAnsiTheme="minorHAnsi" w:cs="Arial"/>
          <w:sz w:val="20"/>
          <w:szCs w:val="20"/>
        </w:rPr>
        <w:footnoteRef/>
      </w:r>
      <w:hyperlink r:id="rId18" w:history="1">
        <w:r w:rsidRPr="00852F69">
          <w:rPr>
            <w:rStyle w:val="Hyperlink"/>
            <w:rFonts w:asciiTheme="minorHAnsi" w:hAnsiTheme="minorHAnsi" w:cs="Arial"/>
            <w:sz w:val="20"/>
            <w:szCs w:val="20"/>
          </w:rPr>
          <w:t>https://coastal.climatecentral.org/map/11/-0.8529/50.7595/?theme=sea_level_rise&amp;map_type=coastal_dem_comparison&amp;contiguous=true&amp;elevation_model=coastal_dem&amp;forecast_year=2100&amp;pathway=rcp85&amp;percentile=p95&amp;return_level=return_level_0&amp;slr_model=kopp_2017</w:t>
        </w:r>
      </w:hyperlink>
    </w:p>
    <w:p w14:paraId="5A7ACC23" w14:textId="77777777" w:rsidR="0094551D" w:rsidRPr="00852F69" w:rsidRDefault="0094551D" w:rsidP="0094551D">
      <w:pPr>
        <w:pStyle w:val="NormalWeb"/>
        <w:spacing w:before="0" w:beforeAutospacing="0" w:after="0" w:afterAutospacing="0"/>
        <w:rPr>
          <w:rFonts w:asciiTheme="minorHAnsi" w:hAnsiTheme="minorHAnsi" w:cs="Arial"/>
          <w:color w:val="222222"/>
          <w:sz w:val="20"/>
          <w:szCs w:val="20"/>
        </w:rPr>
      </w:pPr>
      <w:r w:rsidRPr="00852F69">
        <w:rPr>
          <w:rFonts w:asciiTheme="minorHAnsi" w:hAnsiTheme="minorHAnsi" w:cs="Arial"/>
          <w:sz w:val="20"/>
          <w:szCs w:val="20"/>
        </w:rPr>
        <w:t xml:space="preserve"> </w:t>
      </w:r>
      <w:hyperlink r:id="rId19" w:tgtFrame="_blank" w:history="1">
        <w:r w:rsidRPr="00852F69">
          <w:rPr>
            <w:rStyle w:val="Hyperlink"/>
            <w:rFonts w:asciiTheme="minorHAnsi" w:hAnsiTheme="minorHAnsi" w:cs="Arial"/>
            <w:color w:val="1155CC"/>
            <w:sz w:val="20"/>
            <w:szCs w:val="20"/>
          </w:rPr>
          <w:t>https://www.google.co.uk/amp/s/www.carbonbrief.org/interactive-what-will-2c-and-4c-of-warming-mean-for-global-sea-level-rise/amp</w:t>
        </w:r>
      </w:hyperlink>
    </w:p>
    <w:p w14:paraId="33F63920" w14:textId="77777777" w:rsidR="0094551D" w:rsidRPr="00852F69" w:rsidRDefault="00242BB3" w:rsidP="0094551D">
      <w:pPr>
        <w:pStyle w:val="NormalWeb"/>
        <w:spacing w:before="0" w:beforeAutospacing="0" w:after="0" w:afterAutospacing="0"/>
        <w:rPr>
          <w:rFonts w:asciiTheme="minorHAnsi" w:hAnsiTheme="minorHAnsi" w:cs="Arial"/>
          <w:color w:val="222222"/>
          <w:sz w:val="20"/>
          <w:szCs w:val="20"/>
        </w:rPr>
      </w:pPr>
      <w:hyperlink r:id="rId20" w:tgtFrame="_blank" w:history="1">
        <w:r w:rsidR="0094551D" w:rsidRPr="00852F69">
          <w:rPr>
            <w:rStyle w:val="Hyperlink"/>
            <w:rFonts w:asciiTheme="minorHAnsi" w:hAnsiTheme="minorHAnsi" w:cs="Arial"/>
            <w:color w:val="1155CC"/>
            <w:sz w:val="20"/>
            <w:szCs w:val="20"/>
          </w:rPr>
          <w:t>https://www.nature.com/articles/s41467-019-12808-z</w:t>
        </w:r>
      </w:hyperlink>
    </w:p>
    <w:p w14:paraId="07FA555F" w14:textId="77777777" w:rsidR="0094551D" w:rsidRPr="00852F69" w:rsidRDefault="00242BB3" w:rsidP="0094551D">
      <w:pPr>
        <w:pStyle w:val="NormalWeb"/>
        <w:spacing w:before="0" w:beforeAutospacing="0" w:after="0" w:afterAutospacing="0"/>
        <w:rPr>
          <w:rFonts w:asciiTheme="minorHAnsi" w:hAnsiTheme="minorHAnsi" w:cs="Arial"/>
          <w:color w:val="222222"/>
          <w:sz w:val="20"/>
          <w:szCs w:val="20"/>
        </w:rPr>
      </w:pPr>
      <w:hyperlink r:id="rId21" w:tgtFrame="_blank" w:history="1">
        <w:r w:rsidR="0094551D" w:rsidRPr="00852F69">
          <w:rPr>
            <w:rStyle w:val="Hyperlink"/>
            <w:rFonts w:asciiTheme="minorHAnsi" w:hAnsiTheme="minorHAnsi" w:cs="Arial"/>
            <w:color w:val="1155CC"/>
            <w:sz w:val="20"/>
            <w:szCs w:val="20"/>
          </w:rPr>
          <w:t>https://www.nytimes.com/interactive/2019/10/29/climate/coastal-cities-underwater.html</w:t>
        </w:r>
      </w:hyperlink>
    </w:p>
    <w:p w14:paraId="29A9E1B3" w14:textId="77777777" w:rsidR="0094551D" w:rsidRPr="00852F69" w:rsidRDefault="00242BB3" w:rsidP="0094551D">
      <w:pPr>
        <w:pStyle w:val="NormalWeb"/>
        <w:spacing w:before="0" w:beforeAutospacing="0" w:after="0" w:afterAutospacing="0"/>
        <w:rPr>
          <w:rFonts w:asciiTheme="minorHAnsi" w:hAnsiTheme="minorHAnsi" w:cs="Arial"/>
          <w:color w:val="222222"/>
          <w:sz w:val="20"/>
          <w:szCs w:val="20"/>
        </w:rPr>
      </w:pPr>
      <w:hyperlink r:id="rId22" w:tgtFrame="_blank" w:history="1">
        <w:r w:rsidR="0094551D" w:rsidRPr="00852F69">
          <w:rPr>
            <w:rStyle w:val="Hyperlink"/>
            <w:rFonts w:asciiTheme="minorHAnsi" w:hAnsiTheme="minorHAnsi" w:cs="Arial"/>
            <w:color w:val="1155CC"/>
            <w:sz w:val="20"/>
            <w:szCs w:val="20"/>
          </w:rPr>
          <w:t>https://www.reuters.com/article/us-climate-change-sealevel/far-more-people-at-risk-of-rising-seas-than-feared-climate-study-idUSKBN1X81YV</w:t>
        </w:r>
      </w:hyperlink>
    </w:p>
    <w:p w14:paraId="75444EBD" w14:textId="77777777" w:rsidR="0094551D" w:rsidRPr="00852F69" w:rsidRDefault="00242BB3" w:rsidP="0094551D">
      <w:pPr>
        <w:pStyle w:val="NormalWeb"/>
        <w:spacing w:before="0" w:beforeAutospacing="0" w:after="0" w:afterAutospacing="0"/>
        <w:rPr>
          <w:rFonts w:asciiTheme="minorHAnsi" w:hAnsiTheme="minorHAnsi" w:cs="Arial"/>
          <w:color w:val="222222"/>
          <w:sz w:val="20"/>
          <w:szCs w:val="20"/>
        </w:rPr>
      </w:pPr>
      <w:hyperlink r:id="rId23" w:tgtFrame="_blank" w:history="1">
        <w:r w:rsidR="0094551D" w:rsidRPr="00852F69">
          <w:rPr>
            <w:rStyle w:val="Hyperlink"/>
            <w:rFonts w:asciiTheme="minorHAnsi" w:hAnsiTheme="minorHAnsi" w:cs="Arial"/>
            <w:color w:val="1155CC"/>
            <w:sz w:val="20"/>
            <w:szCs w:val="20"/>
          </w:rPr>
          <w:t>https://www.scientificamerican.com/article/sea-level-could-rise-at-least-6-meters/</w:t>
        </w:r>
      </w:hyperlink>
    </w:p>
    <w:p w14:paraId="588DAA23" w14:textId="77777777" w:rsidR="0094551D" w:rsidRPr="00852F69" w:rsidRDefault="0094551D" w:rsidP="0094551D">
      <w:pPr>
        <w:pStyle w:val="NormalWeb"/>
        <w:spacing w:before="0" w:beforeAutospacing="0" w:after="0" w:afterAutospacing="0"/>
        <w:rPr>
          <w:rFonts w:asciiTheme="minorHAnsi" w:hAnsiTheme="minorHAnsi" w:cs="Arial"/>
          <w:color w:val="222222"/>
          <w:sz w:val="20"/>
          <w:szCs w:val="20"/>
        </w:rPr>
      </w:pPr>
    </w:p>
    <w:p w14:paraId="4DC4D5C2" w14:textId="77777777" w:rsidR="0094551D" w:rsidRPr="00852F69" w:rsidRDefault="0094551D" w:rsidP="0094551D">
      <w:pPr>
        <w:pStyle w:val="NormalWeb"/>
        <w:spacing w:before="0" w:beforeAutospacing="0" w:after="0" w:afterAutospacing="0"/>
        <w:rPr>
          <w:rFonts w:asciiTheme="minorHAnsi" w:hAnsiTheme="minorHAnsi" w:cs="Arial"/>
          <w:color w:val="222222"/>
          <w:sz w:val="20"/>
          <w:szCs w:val="20"/>
        </w:rPr>
      </w:pPr>
    </w:p>
    <w:p w14:paraId="1349538A" w14:textId="77777777" w:rsidR="0094551D" w:rsidRPr="00852F69" w:rsidRDefault="0094551D" w:rsidP="0094551D">
      <w:pPr>
        <w:pStyle w:val="FootnoteText"/>
      </w:pPr>
    </w:p>
  </w:footnote>
  <w:footnote w:id="21">
    <w:p w14:paraId="1AA1AB2B" w14:textId="77777777" w:rsidR="005A1BCC" w:rsidRPr="00852F69" w:rsidRDefault="005A1BCC" w:rsidP="005A1BCC">
      <w:pPr>
        <w:pStyle w:val="NormalWeb"/>
        <w:spacing w:before="0" w:beforeAutospacing="0" w:after="0" w:afterAutospacing="0"/>
        <w:rPr>
          <w:rFonts w:asciiTheme="minorHAnsi" w:hAnsiTheme="minorHAnsi"/>
          <w:sz w:val="20"/>
          <w:szCs w:val="20"/>
        </w:rPr>
      </w:pPr>
      <w:r w:rsidRPr="00852F69">
        <w:rPr>
          <w:rStyle w:val="FootnoteReference"/>
          <w:rFonts w:asciiTheme="minorHAnsi" w:hAnsiTheme="minorHAnsi"/>
          <w:sz w:val="20"/>
          <w:szCs w:val="20"/>
        </w:rPr>
        <w:footnoteRef/>
      </w:r>
      <w:r w:rsidRPr="00852F69">
        <w:rPr>
          <w:rFonts w:asciiTheme="minorHAnsi" w:hAnsiTheme="minorHAnsi"/>
          <w:sz w:val="20"/>
          <w:szCs w:val="20"/>
        </w:rPr>
        <w:t xml:space="preserve"> </w:t>
      </w:r>
      <w:hyperlink r:id="rId24" w:history="1">
        <w:r w:rsidRPr="00852F69">
          <w:rPr>
            <w:rStyle w:val="Hyperlink"/>
            <w:rFonts w:asciiTheme="minorHAnsi" w:hAnsiTheme="minorHAnsi"/>
            <w:sz w:val="20"/>
            <w:szCs w:val="20"/>
          </w:rPr>
          <w:t>https://www.push.gov.uk/wp-content/uploads/2020/03/Advice-on-Achieving-Nutrient-Neutrality-for-New-Deveopment-in-the-Solent-Region-March-2020.pdf</w:t>
        </w:r>
      </w:hyperlink>
    </w:p>
    <w:p w14:paraId="041BA113" w14:textId="7A689ED1" w:rsidR="005A1BCC" w:rsidRPr="00852F69" w:rsidRDefault="005A1BCC">
      <w:pPr>
        <w:pStyle w:val="FootnoteText"/>
      </w:pPr>
    </w:p>
  </w:footnote>
  <w:footnote w:id="22">
    <w:p w14:paraId="47D7F1AD" w14:textId="58DE02C3" w:rsidR="00025B0D" w:rsidRDefault="00025B0D">
      <w:pPr>
        <w:pStyle w:val="FootnoteText"/>
      </w:pPr>
      <w:r>
        <w:rPr>
          <w:rStyle w:val="FootnoteReference"/>
        </w:rPr>
        <w:footnoteRef/>
      </w:r>
      <w:r>
        <w:t xml:space="preserve"> </w:t>
      </w:r>
      <w:hyperlink r:id="rId25" w:history="1">
        <w:r w:rsidRPr="00AA7138">
          <w:rPr>
            <w:rStyle w:val="Hyperlink"/>
          </w:rPr>
          <w:t>https://designatedsites.naturalengland.org.uk/ReportConditionSummary.aspx?SiteCode=S1003245&amp;ReportTitle=Chichester%20Harbour%20SSSI</w:t>
        </w:r>
      </w:hyperlink>
    </w:p>
    <w:p w14:paraId="421BA58E" w14:textId="77777777" w:rsidR="00025B0D" w:rsidRDefault="00025B0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82F7D"/>
    <w:multiLevelType w:val="hybridMultilevel"/>
    <w:tmpl w:val="027EFE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BDA0B9C"/>
    <w:multiLevelType w:val="hybridMultilevel"/>
    <w:tmpl w:val="027EFE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959"/>
    <w:rsid w:val="000056A7"/>
    <w:rsid w:val="00016046"/>
    <w:rsid w:val="00025B0D"/>
    <w:rsid w:val="00040DAE"/>
    <w:rsid w:val="00040F0C"/>
    <w:rsid w:val="00046074"/>
    <w:rsid w:val="00081015"/>
    <w:rsid w:val="00082733"/>
    <w:rsid w:val="000C012C"/>
    <w:rsid w:val="00103109"/>
    <w:rsid w:val="00103D4F"/>
    <w:rsid w:val="001075F3"/>
    <w:rsid w:val="00121437"/>
    <w:rsid w:val="00157F81"/>
    <w:rsid w:val="00167510"/>
    <w:rsid w:val="001711C2"/>
    <w:rsid w:val="00186C81"/>
    <w:rsid w:val="00217C02"/>
    <w:rsid w:val="00222F39"/>
    <w:rsid w:val="00240444"/>
    <w:rsid w:val="00242BB3"/>
    <w:rsid w:val="0026115E"/>
    <w:rsid w:val="002961F8"/>
    <w:rsid w:val="002A63E2"/>
    <w:rsid w:val="002D62FE"/>
    <w:rsid w:val="002E3217"/>
    <w:rsid w:val="002F5B75"/>
    <w:rsid w:val="00301B8D"/>
    <w:rsid w:val="003330BE"/>
    <w:rsid w:val="00333F6A"/>
    <w:rsid w:val="00345E67"/>
    <w:rsid w:val="00346D23"/>
    <w:rsid w:val="00350233"/>
    <w:rsid w:val="003708AF"/>
    <w:rsid w:val="00374873"/>
    <w:rsid w:val="003C6959"/>
    <w:rsid w:val="003F5B56"/>
    <w:rsid w:val="004219EE"/>
    <w:rsid w:val="004412DA"/>
    <w:rsid w:val="004538E2"/>
    <w:rsid w:val="004679FA"/>
    <w:rsid w:val="00485A73"/>
    <w:rsid w:val="004D4764"/>
    <w:rsid w:val="004D4D16"/>
    <w:rsid w:val="004D7636"/>
    <w:rsid w:val="004E34A6"/>
    <w:rsid w:val="005266B7"/>
    <w:rsid w:val="00530C96"/>
    <w:rsid w:val="00532862"/>
    <w:rsid w:val="005358AF"/>
    <w:rsid w:val="00546089"/>
    <w:rsid w:val="00552042"/>
    <w:rsid w:val="00564B99"/>
    <w:rsid w:val="00597FBB"/>
    <w:rsid w:val="005A1BCC"/>
    <w:rsid w:val="005A47F3"/>
    <w:rsid w:val="005B6A7C"/>
    <w:rsid w:val="005E3695"/>
    <w:rsid w:val="005F6F09"/>
    <w:rsid w:val="0064446F"/>
    <w:rsid w:val="00644DE9"/>
    <w:rsid w:val="006669CC"/>
    <w:rsid w:val="00681155"/>
    <w:rsid w:val="006823F0"/>
    <w:rsid w:val="006E0CFD"/>
    <w:rsid w:val="006F4128"/>
    <w:rsid w:val="006F55CC"/>
    <w:rsid w:val="00713C04"/>
    <w:rsid w:val="007273EE"/>
    <w:rsid w:val="00740295"/>
    <w:rsid w:val="007923FB"/>
    <w:rsid w:val="007E3045"/>
    <w:rsid w:val="008159BD"/>
    <w:rsid w:val="00847047"/>
    <w:rsid w:val="00852F69"/>
    <w:rsid w:val="00863C7B"/>
    <w:rsid w:val="00870A05"/>
    <w:rsid w:val="00890E2F"/>
    <w:rsid w:val="00891DC3"/>
    <w:rsid w:val="00892B1B"/>
    <w:rsid w:val="008C5300"/>
    <w:rsid w:val="008D1D76"/>
    <w:rsid w:val="008D5B4D"/>
    <w:rsid w:val="008F6360"/>
    <w:rsid w:val="00931825"/>
    <w:rsid w:val="00932817"/>
    <w:rsid w:val="0094551D"/>
    <w:rsid w:val="0095227A"/>
    <w:rsid w:val="00993AE9"/>
    <w:rsid w:val="009A42AE"/>
    <w:rsid w:val="009B17CD"/>
    <w:rsid w:val="009C731C"/>
    <w:rsid w:val="009E680F"/>
    <w:rsid w:val="009E7447"/>
    <w:rsid w:val="00A07F1E"/>
    <w:rsid w:val="00A344C5"/>
    <w:rsid w:val="00A43BF6"/>
    <w:rsid w:val="00A762C0"/>
    <w:rsid w:val="00A85C03"/>
    <w:rsid w:val="00A9544D"/>
    <w:rsid w:val="00AE042C"/>
    <w:rsid w:val="00AE4AB9"/>
    <w:rsid w:val="00AF76F0"/>
    <w:rsid w:val="00B20974"/>
    <w:rsid w:val="00B22B9D"/>
    <w:rsid w:val="00B34CA0"/>
    <w:rsid w:val="00B43AA6"/>
    <w:rsid w:val="00B4563B"/>
    <w:rsid w:val="00B65F6E"/>
    <w:rsid w:val="00BB2231"/>
    <w:rsid w:val="00BB716A"/>
    <w:rsid w:val="00BC1550"/>
    <w:rsid w:val="00BC61C1"/>
    <w:rsid w:val="00BD2FBD"/>
    <w:rsid w:val="00BE336E"/>
    <w:rsid w:val="00BE356D"/>
    <w:rsid w:val="00BE5E80"/>
    <w:rsid w:val="00C801C3"/>
    <w:rsid w:val="00C81C1E"/>
    <w:rsid w:val="00CA7C6F"/>
    <w:rsid w:val="00CC03A0"/>
    <w:rsid w:val="00CD2CC6"/>
    <w:rsid w:val="00CD38E1"/>
    <w:rsid w:val="00D00CF7"/>
    <w:rsid w:val="00D061FE"/>
    <w:rsid w:val="00D158F1"/>
    <w:rsid w:val="00D47DB3"/>
    <w:rsid w:val="00D558B3"/>
    <w:rsid w:val="00D72BC3"/>
    <w:rsid w:val="00D85249"/>
    <w:rsid w:val="00D93A39"/>
    <w:rsid w:val="00DA6281"/>
    <w:rsid w:val="00DC40E0"/>
    <w:rsid w:val="00DC4FE1"/>
    <w:rsid w:val="00E06476"/>
    <w:rsid w:val="00E06EF0"/>
    <w:rsid w:val="00E37EF6"/>
    <w:rsid w:val="00E466B9"/>
    <w:rsid w:val="00E467AF"/>
    <w:rsid w:val="00E87119"/>
    <w:rsid w:val="00E87BB4"/>
    <w:rsid w:val="00EA4EAA"/>
    <w:rsid w:val="00EC3902"/>
    <w:rsid w:val="00EC764C"/>
    <w:rsid w:val="00ED2729"/>
    <w:rsid w:val="00ED74E4"/>
    <w:rsid w:val="00EF3117"/>
    <w:rsid w:val="00F14CC7"/>
    <w:rsid w:val="00F3731A"/>
    <w:rsid w:val="00F45639"/>
    <w:rsid w:val="00F55D8B"/>
    <w:rsid w:val="00F63B92"/>
    <w:rsid w:val="00FA776B"/>
    <w:rsid w:val="00FC2832"/>
    <w:rsid w:val="00FC7927"/>
    <w:rsid w:val="00FD0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6959"/>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4679FA"/>
    <w:rPr>
      <w:sz w:val="20"/>
      <w:szCs w:val="20"/>
    </w:rPr>
  </w:style>
  <w:style w:type="character" w:customStyle="1" w:styleId="FootnoteTextChar">
    <w:name w:val="Footnote Text Char"/>
    <w:basedOn w:val="DefaultParagraphFont"/>
    <w:link w:val="FootnoteText"/>
    <w:uiPriority w:val="99"/>
    <w:semiHidden/>
    <w:rsid w:val="004679FA"/>
    <w:rPr>
      <w:sz w:val="20"/>
      <w:szCs w:val="20"/>
    </w:rPr>
  </w:style>
  <w:style w:type="character" w:styleId="FootnoteReference">
    <w:name w:val="footnote reference"/>
    <w:basedOn w:val="DefaultParagraphFont"/>
    <w:uiPriority w:val="99"/>
    <w:semiHidden/>
    <w:unhideWhenUsed/>
    <w:rsid w:val="004679FA"/>
    <w:rPr>
      <w:vertAlign w:val="superscript"/>
    </w:rPr>
  </w:style>
  <w:style w:type="character" w:styleId="Hyperlink">
    <w:name w:val="Hyperlink"/>
    <w:basedOn w:val="DefaultParagraphFont"/>
    <w:uiPriority w:val="99"/>
    <w:unhideWhenUsed/>
    <w:rsid w:val="004679FA"/>
    <w:rPr>
      <w:color w:val="0563C1" w:themeColor="hyperlink"/>
      <w:u w:val="single"/>
    </w:rPr>
  </w:style>
  <w:style w:type="character" w:customStyle="1" w:styleId="UnresolvedMention">
    <w:name w:val="Unresolved Mention"/>
    <w:basedOn w:val="DefaultParagraphFont"/>
    <w:uiPriority w:val="99"/>
    <w:semiHidden/>
    <w:unhideWhenUsed/>
    <w:rsid w:val="004679FA"/>
    <w:rPr>
      <w:color w:val="605E5C"/>
      <w:shd w:val="clear" w:color="auto" w:fill="E1DFDD"/>
    </w:rPr>
  </w:style>
  <w:style w:type="character" w:styleId="FollowedHyperlink">
    <w:name w:val="FollowedHyperlink"/>
    <w:basedOn w:val="DefaultParagraphFont"/>
    <w:uiPriority w:val="99"/>
    <w:semiHidden/>
    <w:unhideWhenUsed/>
    <w:rsid w:val="006E0CFD"/>
    <w:rPr>
      <w:color w:val="954F72" w:themeColor="followedHyperlink"/>
      <w:u w:val="single"/>
    </w:rPr>
  </w:style>
  <w:style w:type="paragraph" w:styleId="PlainText">
    <w:name w:val="Plain Text"/>
    <w:basedOn w:val="Normal"/>
    <w:link w:val="PlainTextChar"/>
    <w:uiPriority w:val="99"/>
    <w:unhideWhenUsed/>
    <w:rsid w:val="00D558B3"/>
    <w:rPr>
      <w:rFonts w:ascii="Calibri" w:hAnsi="Calibri"/>
      <w:sz w:val="22"/>
      <w:szCs w:val="21"/>
    </w:rPr>
  </w:style>
  <w:style w:type="character" w:customStyle="1" w:styleId="PlainTextChar">
    <w:name w:val="Plain Text Char"/>
    <w:basedOn w:val="DefaultParagraphFont"/>
    <w:link w:val="PlainText"/>
    <w:uiPriority w:val="99"/>
    <w:rsid w:val="00D558B3"/>
    <w:rPr>
      <w:rFonts w:ascii="Calibri" w:hAnsi="Calibri"/>
      <w:sz w:val="22"/>
      <w:szCs w:val="21"/>
    </w:rPr>
  </w:style>
  <w:style w:type="paragraph" w:styleId="ListParagraph">
    <w:name w:val="List Paragraph"/>
    <w:basedOn w:val="Normal"/>
    <w:uiPriority w:val="34"/>
    <w:qFormat/>
    <w:rsid w:val="00F3731A"/>
    <w:pPr>
      <w:spacing w:after="200" w:line="276" w:lineRule="auto"/>
      <w:ind w:left="720"/>
      <w:contextualSpacing/>
    </w:pPr>
    <w:rPr>
      <w:sz w:val="22"/>
      <w:szCs w:val="22"/>
    </w:rPr>
  </w:style>
  <w:style w:type="paragraph" w:customStyle="1" w:styleId="Default">
    <w:name w:val="Default"/>
    <w:rsid w:val="00863C7B"/>
    <w:pPr>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6959"/>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4679FA"/>
    <w:rPr>
      <w:sz w:val="20"/>
      <w:szCs w:val="20"/>
    </w:rPr>
  </w:style>
  <w:style w:type="character" w:customStyle="1" w:styleId="FootnoteTextChar">
    <w:name w:val="Footnote Text Char"/>
    <w:basedOn w:val="DefaultParagraphFont"/>
    <w:link w:val="FootnoteText"/>
    <w:uiPriority w:val="99"/>
    <w:semiHidden/>
    <w:rsid w:val="004679FA"/>
    <w:rPr>
      <w:sz w:val="20"/>
      <w:szCs w:val="20"/>
    </w:rPr>
  </w:style>
  <w:style w:type="character" w:styleId="FootnoteReference">
    <w:name w:val="footnote reference"/>
    <w:basedOn w:val="DefaultParagraphFont"/>
    <w:uiPriority w:val="99"/>
    <w:semiHidden/>
    <w:unhideWhenUsed/>
    <w:rsid w:val="004679FA"/>
    <w:rPr>
      <w:vertAlign w:val="superscript"/>
    </w:rPr>
  </w:style>
  <w:style w:type="character" w:styleId="Hyperlink">
    <w:name w:val="Hyperlink"/>
    <w:basedOn w:val="DefaultParagraphFont"/>
    <w:uiPriority w:val="99"/>
    <w:unhideWhenUsed/>
    <w:rsid w:val="004679FA"/>
    <w:rPr>
      <w:color w:val="0563C1" w:themeColor="hyperlink"/>
      <w:u w:val="single"/>
    </w:rPr>
  </w:style>
  <w:style w:type="character" w:customStyle="1" w:styleId="UnresolvedMention">
    <w:name w:val="Unresolved Mention"/>
    <w:basedOn w:val="DefaultParagraphFont"/>
    <w:uiPriority w:val="99"/>
    <w:semiHidden/>
    <w:unhideWhenUsed/>
    <w:rsid w:val="004679FA"/>
    <w:rPr>
      <w:color w:val="605E5C"/>
      <w:shd w:val="clear" w:color="auto" w:fill="E1DFDD"/>
    </w:rPr>
  </w:style>
  <w:style w:type="character" w:styleId="FollowedHyperlink">
    <w:name w:val="FollowedHyperlink"/>
    <w:basedOn w:val="DefaultParagraphFont"/>
    <w:uiPriority w:val="99"/>
    <w:semiHidden/>
    <w:unhideWhenUsed/>
    <w:rsid w:val="006E0CFD"/>
    <w:rPr>
      <w:color w:val="954F72" w:themeColor="followedHyperlink"/>
      <w:u w:val="single"/>
    </w:rPr>
  </w:style>
  <w:style w:type="paragraph" w:styleId="PlainText">
    <w:name w:val="Plain Text"/>
    <w:basedOn w:val="Normal"/>
    <w:link w:val="PlainTextChar"/>
    <w:uiPriority w:val="99"/>
    <w:unhideWhenUsed/>
    <w:rsid w:val="00D558B3"/>
    <w:rPr>
      <w:rFonts w:ascii="Calibri" w:hAnsi="Calibri"/>
      <w:sz w:val="22"/>
      <w:szCs w:val="21"/>
    </w:rPr>
  </w:style>
  <w:style w:type="character" w:customStyle="1" w:styleId="PlainTextChar">
    <w:name w:val="Plain Text Char"/>
    <w:basedOn w:val="DefaultParagraphFont"/>
    <w:link w:val="PlainText"/>
    <w:uiPriority w:val="99"/>
    <w:rsid w:val="00D558B3"/>
    <w:rPr>
      <w:rFonts w:ascii="Calibri" w:hAnsi="Calibri"/>
      <w:sz w:val="22"/>
      <w:szCs w:val="21"/>
    </w:rPr>
  </w:style>
  <w:style w:type="paragraph" w:styleId="ListParagraph">
    <w:name w:val="List Paragraph"/>
    <w:basedOn w:val="Normal"/>
    <w:uiPriority w:val="34"/>
    <w:qFormat/>
    <w:rsid w:val="00F3731A"/>
    <w:pPr>
      <w:spacing w:after="200" w:line="276" w:lineRule="auto"/>
      <w:ind w:left="720"/>
      <w:contextualSpacing/>
    </w:pPr>
    <w:rPr>
      <w:sz w:val="22"/>
      <w:szCs w:val="22"/>
    </w:rPr>
  </w:style>
  <w:style w:type="paragraph" w:customStyle="1" w:styleId="Default">
    <w:name w:val="Default"/>
    <w:rsid w:val="00863C7B"/>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2067">
      <w:bodyDiv w:val="1"/>
      <w:marLeft w:val="0"/>
      <w:marRight w:val="0"/>
      <w:marTop w:val="0"/>
      <w:marBottom w:val="0"/>
      <w:divBdr>
        <w:top w:val="none" w:sz="0" w:space="0" w:color="auto"/>
        <w:left w:val="none" w:sz="0" w:space="0" w:color="auto"/>
        <w:bottom w:val="none" w:sz="0" w:space="0" w:color="auto"/>
        <w:right w:val="none" w:sz="0" w:space="0" w:color="auto"/>
      </w:divBdr>
    </w:div>
    <w:div w:id="165248820">
      <w:bodyDiv w:val="1"/>
      <w:marLeft w:val="0"/>
      <w:marRight w:val="0"/>
      <w:marTop w:val="0"/>
      <w:marBottom w:val="0"/>
      <w:divBdr>
        <w:top w:val="none" w:sz="0" w:space="0" w:color="auto"/>
        <w:left w:val="none" w:sz="0" w:space="0" w:color="auto"/>
        <w:bottom w:val="none" w:sz="0" w:space="0" w:color="auto"/>
        <w:right w:val="none" w:sz="0" w:space="0" w:color="auto"/>
      </w:divBdr>
    </w:div>
    <w:div w:id="255525472">
      <w:bodyDiv w:val="1"/>
      <w:marLeft w:val="0"/>
      <w:marRight w:val="0"/>
      <w:marTop w:val="0"/>
      <w:marBottom w:val="0"/>
      <w:divBdr>
        <w:top w:val="none" w:sz="0" w:space="0" w:color="auto"/>
        <w:left w:val="none" w:sz="0" w:space="0" w:color="auto"/>
        <w:bottom w:val="none" w:sz="0" w:space="0" w:color="auto"/>
        <w:right w:val="none" w:sz="0" w:space="0" w:color="auto"/>
      </w:divBdr>
    </w:div>
    <w:div w:id="368185153">
      <w:bodyDiv w:val="1"/>
      <w:marLeft w:val="0"/>
      <w:marRight w:val="0"/>
      <w:marTop w:val="0"/>
      <w:marBottom w:val="0"/>
      <w:divBdr>
        <w:top w:val="none" w:sz="0" w:space="0" w:color="auto"/>
        <w:left w:val="none" w:sz="0" w:space="0" w:color="auto"/>
        <w:bottom w:val="none" w:sz="0" w:space="0" w:color="auto"/>
        <w:right w:val="none" w:sz="0" w:space="0" w:color="auto"/>
      </w:divBdr>
    </w:div>
    <w:div w:id="434980115">
      <w:bodyDiv w:val="1"/>
      <w:marLeft w:val="0"/>
      <w:marRight w:val="0"/>
      <w:marTop w:val="0"/>
      <w:marBottom w:val="0"/>
      <w:divBdr>
        <w:top w:val="none" w:sz="0" w:space="0" w:color="auto"/>
        <w:left w:val="none" w:sz="0" w:space="0" w:color="auto"/>
        <w:bottom w:val="none" w:sz="0" w:space="0" w:color="auto"/>
        <w:right w:val="none" w:sz="0" w:space="0" w:color="auto"/>
      </w:divBdr>
    </w:div>
    <w:div w:id="571696514">
      <w:bodyDiv w:val="1"/>
      <w:marLeft w:val="0"/>
      <w:marRight w:val="0"/>
      <w:marTop w:val="0"/>
      <w:marBottom w:val="0"/>
      <w:divBdr>
        <w:top w:val="none" w:sz="0" w:space="0" w:color="auto"/>
        <w:left w:val="none" w:sz="0" w:space="0" w:color="auto"/>
        <w:bottom w:val="none" w:sz="0" w:space="0" w:color="auto"/>
        <w:right w:val="none" w:sz="0" w:space="0" w:color="auto"/>
      </w:divBdr>
    </w:div>
    <w:div w:id="572742687">
      <w:bodyDiv w:val="1"/>
      <w:marLeft w:val="0"/>
      <w:marRight w:val="0"/>
      <w:marTop w:val="0"/>
      <w:marBottom w:val="0"/>
      <w:divBdr>
        <w:top w:val="none" w:sz="0" w:space="0" w:color="auto"/>
        <w:left w:val="none" w:sz="0" w:space="0" w:color="auto"/>
        <w:bottom w:val="none" w:sz="0" w:space="0" w:color="auto"/>
        <w:right w:val="none" w:sz="0" w:space="0" w:color="auto"/>
      </w:divBdr>
    </w:div>
    <w:div w:id="641159772">
      <w:bodyDiv w:val="1"/>
      <w:marLeft w:val="0"/>
      <w:marRight w:val="0"/>
      <w:marTop w:val="0"/>
      <w:marBottom w:val="0"/>
      <w:divBdr>
        <w:top w:val="none" w:sz="0" w:space="0" w:color="auto"/>
        <w:left w:val="none" w:sz="0" w:space="0" w:color="auto"/>
        <w:bottom w:val="none" w:sz="0" w:space="0" w:color="auto"/>
        <w:right w:val="none" w:sz="0" w:space="0" w:color="auto"/>
      </w:divBdr>
    </w:div>
    <w:div w:id="832985387">
      <w:bodyDiv w:val="1"/>
      <w:marLeft w:val="0"/>
      <w:marRight w:val="0"/>
      <w:marTop w:val="0"/>
      <w:marBottom w:val="0"/>
      <w:divBdr>
        <w:top w:val="none" w:sz="0" w:space="0" w:color="auto"/>
        <w:left w:val="none" w:sz="0" w:space="0" w:color="auto"/>
        <w:bottom w:val="none" w:sz="0" w:space="0" w:color="auto"/>
        <w:right w:val="none" w:sz="0" w:space="0" w:color="auto"/>
      </w:divBdr>
    </w:div>
    <w:div w:id="955404863">
      <w:bodyDiv w:val="1"/>
      <w:marLeft w:val="0"/>
      <w:marRight w:val="0"/>
      <w:marTop w:val="0"/>
      <w:marBottom w:val="0"/>
      <w:divBdr>
        <w:top w:val="none" w:sz="0" w:space="0" w:color="auto"/>
        <w:left w:val="none" w:sz="0" w:space="0" w:color="auto"/>
        <w:bottom w:val="none" w:sz="0" w:space="0" w:color="auto"/>
        <w:right w:val="none" w:sz="0" w:space="0" w:color="auto"/>
      </w:divBdr>
    </w:div>
    <w:div w:id="1045758012">
      <w:bodyDiv w:val="1"/>
      <w:marLeft w:val="0"/>
      <w:marRight w:val="0"/>
      <w:marTop w:val="0"/>
      <w:marBottom w:val="0"/>
      <w:divBdr>
        <w:top w:val="none" w:sz="0" w:space="0" w:color="auto"/>
        <w:left w:val="none" w:sz="0" w:space="0" w:color="auto"/>
        <w:bottom w:val="none" w:sz="0" w:space="0" w:color="auto"/>
        <w:right w:val="none" w:sz="0" w:space="0" w:color="auto"/>
      </w:divBdr>
    </w:div>
    <w:div w:id="1173912898">
      <w:bodyDiv w:val="1"/>
      <w:marLeft w:val="0"/>
      <w:marRight w:val="0"/>
      <w:marTop w:val="0"/>
      <w:marBottom w:val="0"/>
      <w:divBdr>
        <w:top w:val="none" w:sz="0" w:space="0" w:color="auto"/>
        <w:left w:val="none" w:sz="0" w:space="0" w:color="auto"/>
        <w:bottom w:val="none" w:sz="0" w:space="0" w:color="auto"/>
        <w:right w:val="none" w:sz="0" w:space="0" w:color="auto"/>
      </w:divBdr>
    </w:div>
    <w:div w:id="1182741522">
      <w:bodyDiv w:val="1"/>
      <w:marLeft w:val="0"/>
      <w:marRight w:val="0"/>
      <w:marTop w:val="0"/>
      <w:marBottom w:val="0"/>
      <w:divBdr>
        <w:top w:val="none" w:sz="0" w:space="0" w:color="auto"/>
        <w:left w:val="none" w:sz="0" w:space="0" w:color="auto"/>
        <w:bottom w:val="none" w:sz="0" w:space="0" w:color="auto"/>
        <w:right w:val="none" w:sz="0" w:space="0" w:color="auto"/>
      </w:divBdr>
    </w:div>
    <w:div w:id="1273128669">
      <w:bodyDiv w:val="1"/>
      <w:marLeft w:val="0"/>
      <w:marRight w:val="0"/>
      <w:marTop w:val="0"/>
      <w:marBottom w:val="0"/>
      <w:divBdr>
        <w:top w:val="none" w:sz="0" w:space="0" w:color="auto"/>
        <w:left w:val="none" w:sz="0" w:space="0" w:color="auto"/>
        <w:bottom w:val="none" w:sz="0" w:space="0" w:color="auto"/>
        <w:right w:val="none" w:sz="0" w:space="0" w:color="auto"/>
      </w:divBdr>
    </w:div>
    <w:div w:id="1361129771">
      <w:bodyDiv w:val="1"/>
      <w:marLeft w:val="0"/>
      <w:marRight w:val="0"/>
      <w:marTop w:val="0"/>
      <w:marBottom w:val="0"/>
      <w:divBdr>
        <w:top w:val="none" w:sz="0" w:space="0" w:color="auto"/>
        <w:left w:val="none" w:sz="0" w:space="0" w:color="auto"/>
        <w:bottom w:val="none" w:sz="0" w:space="0" w:color="auto"/>
        <w:right w:val="none" w:sz="0" w:space="0" w:color="auto"/>
      </w:divBdr>
    </w:div>
    <w:div w:id="1515462689">
      <w:bodyDiv w:val="1"/>
      <w:marLeft w:val="0"/>
      <w:marRight w:val="0"/>
      <w:marTop w:val="0"/>
      <w:marBottom w:val="0"/>
      <w:divBdr>
        <w:top w:val="none" w:sz="0" w:space="0" w:color="auto"/>
        <w:left w:val="none" w:sz="0" w:space="0" w:color="auto"/>
        <w:bottom w:val="none" w:sz="0" w:space="0" w:color="auto"/>
        <w:right w:val="none" w:sz="0" w:space="0" w:color="auto"/>
      </w:divBdr>
    </w:div>
    <w:div w:id="1551453369">
      <w:bodyDiv w:val="1"/>
      <w:marLeft w:val="0"/>
      <w:marRight w:val="0"/>
      <w:marTop w:val="0"/>
      <w:marBottom w:val="0"/>
      <w:divBdr>
        <w:top w:val="none" w:sz="0" w:space="0" w:color="auto"/>
        <w:left w:val="none" w:sz="0" w:space="0" w:color="auto"/>
        <w:bottom w:val="none" w:sz="0" w:space="0" w:color="auto"/>
        <w:right w:val="none" w:sz="0" w:space="0" w:color="auto"/>
      </w:divBdr>
    </w:div>
    <w:div w:id="1662343457">
      <w:bodyDiv w:val="1"/>
      <w:marLeft w:val="0"/>
      <w:marRight w:val="0"/>
      <w:marTop w:val="0"/>
      <w:marBottom w:val="0"/>
      <w:divBdr>
        <w:top w:val="none" w:sz="0" w:space="0" w:color="auto"/>
        <w:left w:val="none" w:sz="0" w:space="0" w:color="auto"/>
        <w:bottom w:val="none" w:sz="0" w:space="0" w:color="auto"/>
        <w:right w:val="none" w:sz="0" w:space="0" w:color="auto"/>
      </w:divBdr>
    </w:div>
    <w:div w:id="1975209526">
      <w:bodyDiv w:val="1"/>
      <w:marLeft w:val="0"/>
      <w:marRight w:val="0"/>
      <w:marTop w:val="0"/>
      <w:marBottom w:val="0"/>
      <w:divBdr>
        <w:top w:val="none" w:sz="0" w:space="0" w:color="auto"/>
        <w:left w:val="none" w:sz="0" w:space="0" w:color="auto"/>
        <w:bottom w:val="none" w:sz="0" w:space="0" w:color="auto"/>
        <w:right w:val="none" w:sz="0" w:space="0" w:color="auto"/>
      </w:divBdr>
      <w:divsChild>
        <w:div w:id="1599293858">
          <w:marLeft w:val="0"/>
          <w:marRight w:val="0"/>
          <w:marTop w:val="0"/>
          <w:marBottom w:val="0"/>
          <w:divBdr>
            <w:top w:val="none" w:sz="0" w:space="0" w:color="auto"/>
            <w:left w:val="none" w:sz="0" w:space="0" w:color="auto"/>
            <w:bottom w:val="none" w:sz="0" w:space="0" w:color="auto"/>
            <w:right w:val="none" w:sz="0" w:space="0" w:color="auto"/>
          </w:divBdr>
          <w:divsChild>
            <w:div w:id="450828392">
              <w:marLeft w:val="0"/>
              <w:marRight w:val="0"/>
              <w:marTop w:val="0"/>
              <w:marBottom w:val="0"/>
              <w:divBdr>
                <w:top w:val="none" w:sz="0" w:space="0" w:color="auto"/>
                <w:left w:val="none" w:sz="0" w:space="0" w:color="auto"/>
                <w:bottom w:val="none" w:sz="0" w:space="0" w:color="auto"/>
                <w:right w:val="none" w:sz="0" w:space="0" w:color="auto"/>
              </w:divBdr>
              <w:divsChild>
                <w:div w:id="3204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71620">
      <w:bodyDiv w:val="1"/>
      <w:marLeft w:val="0"/>
      <w:marRight w:val="0"/>
      <w:marTop w:val="0"/>
      <w:marBottom w:val="0"/>
      <w:divBdr>
        <w:top w:val="none" w:sz="0" w:space="0" w:color="auto"/>
        <w:left w:val="none" w:sz="0" w:space="0" w:color="auto"/>
        <w:bottom w:val="none" w:sz="0" w:space="0" w:color="auto"/>
        <w:right w:val="none" w:sz="0" w:space="0" w:color="auto"/>
      </w:divBdr>
    </w:div>
    <w:div w:id="1993830600">
      <w:bodyDiv w:val="1"/>
      <w:marLeft w:val="0"/>
      <w:marRight w:val="0"/>
      <w:marTop w:val="0"/>
      <w:marBottom w:val="0"/>
      <w:divBdr>
        <w:top w:val="none" w:sz="0" w:space="0" w:color="auto"/>
        <w:left w:val="none" w:sz="0" w:space="0" w:color="auto"/>
        <w:bottom w:val="none" w:sz="0" w:space="0" w:color="auto"/>
        <w:right w:val="none" w:sz="0" w:space="0" w:color="auto"/>
      </w:divBdr>
    </w:div>
    <w:div w:id="2004045195">
      <w:bodyDiv w:val="1"/>
      <w:marLeft w:val="0"/>
      <w:marRight w:val="0"/>
      <w:marTop w:val="0"/>
      <w:marBottom w:val="0"/>
      <w:divBdr>
        <w:top w:val="none" w:sz="0" w:space="0" w:color="auto"/>
        <w:left w:val="none" w:sz="0" w:space="0" w:color="auto"/>
        <w:bottom w:val="none" w:sz="0" w:space="0" w:color="auto"/>
        <w:right w:val="none" w:sz="0" w:space="0" w:color="auto"/>
      </w:divBdr>
    </w:div>
    <w:div w:id="2052417205">
      <w:bodyDiv w:val="1"/>
      <w:marLeft w:val="0"/>
      <w:marRight w:val="0"/>
      <w:marTop w:val="0"/>
      <w:marBottom w:val="0"/>
      <w:divBdr>
        <w:top w:val="none" w:sz="0" w:space="0" w:color="auto"/>
        <w:left w:val="none" w:sz="0" w:space="0" w:color="auto"/>
        <w:bottom w:val="none" w:sz="0" w:space="0" w:color="auto"/>
        <w:right w:val="none" w:sz="0" w:space="0" w:color="auto"/>
      </w:divBdr>
    </w:div>
    <w:div w:id="2079815856">
      <w:bodyDiv w:val="1"/>
      <w:marLeft w:val="0"/>
      <w:marRight w:val="0"/>
      <w:marTop w:val="0"/>
      <w:marBottom w:val="0"/>
      <w:divBdr>
        <w:top w:val="none" w:sz="0" w:space="0" w:color="auto"/>
        <w:left w:val="none" w:sz="0" w:space="0" w:color="auto"/>
        <w:bottom w:val="none" w:sz="0" w:space="0" w:color="auto"/>
        <w:right w:val="none" w:sz="0" w:space="0" w:color="auto"/>
      </w:divBdr>
    </w:div>
    <w:div w:id="21162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lup.lub.lu.se/luur/download?func=downloadFile&amp;recordOId=8937311&amp;fileOId=8937312" TargetMode="External"/><Relationship Id="rId13" Type="http://schemas.openxmlformats.org/officeDocument/2006/relationships/hyperlink" Target="https://www.sciencedirect.com/science/article/abs/pii/S1439179115001188" TargetMode="External"/><Relationship Id="rId18" Type="http://schemas.openxmlformats.org/officeDocument/2006/relationships/hyperlink" Target="https://coastal.climatecentral.org/map/11/-0.8529/50.7595/?theme=sea_level_rise&amp;map_type=coastal_dem_comparison&amp;contiguous=true&amp;elevation_model=coastal_dem&amp;forecast_year=2100&amp;pathway=rcp85&amp;percentile=p95&amp;return_level=return_level_0&amp;slr_model=kopp_2017" TargetMode="External"/><Relationship Id="rId3" Type="http://schemas.openxmlformats.org/officeDocument/2006/relationships/hyperlink" Target="https://publications.parliament.uk/pa/cm201920/cmselect/cmenvfru/56/56.pdf" TargetMode="External"/><Relationship Id="rId21" Type="http://schemas.openxmlformats.org/officeDocument/2006/relationships/hyperlink" Target="https://www.nytimes.com/interactive/2019/10/29/climate/coastal-cities-underwater.html" TargetMode="External"/><Relationship Id="rId7" Type="http://schemas.openxmlformats.org/officeDocument/2006/relationships/hyperlink" Target="https://ss2.climatecentral.org/" TargetMode="External"/><Relationship Id="rId12" Type="http://schemas.openxmlformats.org/officeDocument/2006/relationships/hyperlink" Target="https://www.conservancy.co.uk/assets/files/cms_item/613/d-Chichester_Harbour_protected_views_study_final_15-04-20-ySMHhe3XQO.pdf" TargetMode="External"/><Relationship Id="rId17" Type="http://schemas.openxmlformats.org/officeDocument/2006/relationships/hyperlink" Target="https://www.gov.uk/government/news/environment-agency-publishes-new-evidence-to-plan-for-flood-and-coastal-risk-up-to-2065" TargetMode="External"/><Relationship Id="rId25" Type="http://schemas.openxmlformats.org/officeDocument/2006/relationships/hyperlink" Target="https://designatedsites.naturalengland.org.uk/ReportConditionSummary.aspx?SiteCode=S1003245&amp;ReportTitle=Chichester%20Harbour%20SSSI" TargetMode="External"/><Relationship Id="rId2" Type="http://schemas.openxmlformats.org/officeDocument/2006/relationships/hyperlink" Target="https://www.gov.uk/government/news/environment-agency-publishes-new-evidence-to-plan-for-flood-and-coastal-risk-up-to-2065" TargetMode="External"/><Relationship Id="rId16" Type="http://schemas.openxmlformats.org/officeDocument/2006/relationships/hyperlink" Target="https://assets.publishing.service.gov.uk/government/uploads/system/uploads/attachment_data/file/835536/Future_Homes_Standard_Consultation_Oct_2019.pdf" TargetMode="External"/><Relationship Id="rId20" Type="http://schemas.openxmlformats.org/officeDocument/2006/relationships/hyperlink" Target="https://www.nature.com/articles/s41467-019-12808-z" TargetMode="External"/><Relationship Id="rId1" Type="http://schemas.openxmlformats.org/officeDocument/2006/relationships/hyperlink" Target="https://www.southdowns.gov.uk/wp-content/uploads/2018/04/SCG05-Chichester.pdf" TargetMode="External"/><Relationship Id="rId6" Type="http://schemas.openxmlformats.org/officeDocument/2006/relationships/hyperlink" Target="https://www.gov.uk/guidance/flood-risk-assessments-climate-change-allowances" TargetMode="External"/><Relationship Id="rId11" Type="http://schemas.openxmlformats.org/officeDocument/2006/relationships/hyperlink" Target="https://www.gov.uk/government/news/environment-agency-publishes-new-evidence-to-plan-for-flood-and-coastal-risk-up-to-2065" TargetMode="External"/><Relationship Id="rId24" Type="http://schemas.openxmlformats.org/officeDocument/2006/relationships/hyperlink" Target="https://www.push.gov.uk/wp-content/uploads/2020/03/Advice-on-Achieving-Nutrient-Neutrality-for-New-Deveopment-in-the-Solent-Region-March-2020.pdf" TargetMode="External"/><Relationship Id="rId5" Type="http://schemas.openxmlformats.org/officeDocument/2006/relationships/hyperlink" Target="https://www.carbonbrief.org/restoring-soils-could-remove-up-to-5-5bn-tonnes-of-greenhouse-gases-every-year" TargetMode="External"/><Relationship Id="rId15" Type="http://schemas.openxmlformats.org/officeDocument/2006/relationships/hyperlink" Target="https://www.carbonbrief.org/restoring-soils-could-remove-up-to-5-5bn-tonnes-of-greenhouse-gases-every-year" TargetMode="External"/><Relationship Id="rId23" Type="http://schemas.openxmlformats.org/officeDocument/2006/relationships/hyperlink" Target="https://www.scientificamerican.com/article/sea-level-could-rise-at-least-6-meters/" TargetMode="External"/><Relationship Id="rId10" Type="http://schemas.openxmlformats.org/officeDocument/2006/relationships/hyperlink" Target="https://assets.publishing.service.gov.uk/government/uploads/system/uploads/attachment_data/file/827611/Exploratory_sea_level_projections_for_the_UK_to_2300_-_report.pdf" TargetMode="External"/><Relationship Id="rId19" Type="http://schemas.openxmlformats.org/officeDocument/2006/relationships/hyperlink" Target="https://www.google.co.uk/amp/s/www.carbonbrief.org/interactive-what-will-2c-and-4c-of-warming-mean-for-global-sea-level-rise/amp" TargetMode="External"/><Relationship Id="rId4" Type="http://schemas.openxmlformats.org/officeDocument/2006/relationships/hyperlink" Target="https://www.parliament.uk/business/committees/committees-a-z/commons-select/environment-food-and-rural-affairs-committee/inquiries/parliament-2017/coastal-flooding-and-adaptation-to-climate-change-17-19/" TargetMode="External"/><Relationship Id="rId9" Type="http://schemas.openxmlformats.org/officeDocument/2006/relationships/hyperlink" Target="https://www.climatecentral.org/news/ipcc-predictions-then-versus-now-15340" TargetMode="External"/><Relationship Id="rId14" Type="http://schemas.openxmlformats.org/officeDocument/2006/relationships/hyperlink" Target="https://link.springer.com/chapter/10.1007/978-1-4613-0059-5_6" TargetMode="External"/><Relationship Id="rId22" Type="http://schemas.openxmlformats.org/officeDocument/2006/relationships/hyperlink" Target="https://www.reuters.com/article/us-climate-change-sealevel/far-more-people-at-risk-of-rising-seas-than-feared-climate-study-idUSKBN1X81Y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AB5F-A27B-4975-B4E8-C18CE173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Pages>
  <Words>4930</Words>
  <Characters>28104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&amp; TIM COBBOLD</dc:creator>
  <cp:keywords/>
  <dc:description/>
  <cp:lastModifiedBy>Hannah Chivers</cp:lastModifiedBy>
  <cp:revision>13</cp:revision>
  <dcterms:created xsi:type="dcterms:W3CDTF">2020-06-29T09:51:00Z</dcterms:created>
  <dcterms:modified xsi:type="dcterms:W3CDTF">2020-08-10T13:49:00Z</dcterms:modified>
</cp:coreProperties>
</file>