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3C" w:rsidRPr="00B20974" w:rsidRDefault="00382A3C" w:rsidP="00382A3C">
      <w:pPr>
        <w:pStyle w:val="NormalWeb"/>
        <w:spacing w:before="0" w:beforeAutospacing="0" w:after="0" w:afterAutospacing="0"/>
        <w:rPr>
          <w:rFonts w:asciiTheme="minorHAnsi" w:hAnsiTheme="minorHAnsi"/>
          <w:b/>
          <w:sz w:val="22"/>
          <w:szCs w:val="22"/>
        </w:rPr>
      </w:pPr>
      <w:r w:rsidRPr="00B20974">
        <w:rPr>
          <w:rFonts w:asciiTheme="minorHAnsi" w:hAnsiTheme="minorHAnsi"/>
          <w:b/>
          <w:sz w:val="22"/>
          <w:szCs w:val="22"/>
        </w:rPr>
        <w:t>1, Background</w:t>
      </w:r>
    </w:p>
    <w:p w:rsidR="00382A3C" w:rsidRPr="00B20974" w:rsidRDefault="00382A3C" w:rsidP="00382A3C">
      <w:pPr>
        <w:pStyle w:val="PlainText"/>
        <w:rPr>
          <w:rFonts w:asciiTheme="minorHAnsi" w:hAnsiTheme="minorHAnsi"/>
          <w:szCs w:val="22"/>
        </w:rPr>
      </w:pPr>
      <w:r w:rsidRPr="00B20974">
        <w:rPr>
          <w:rFonts w:asciiTheme="minorHAnsi" w:hAnsiTheme="minorHAnsi"/>
          <w:szCs w:val="22"/>
          <w:highlight w:val="yellow"/>
        </w:rPr>
        <w:t>1.3 The CLPKP will continue to form part of the statutory development plan until the LPR is adopted, however Planning Practice Guidance1 makes clear that where local plans have been adopted more than 5 years ago, the housing target against which the housing supply and delivery will be assessed should be derived from the Government’s standard methodology for assessing housing need. From the 15 July 2020 (five years from the date of adoption of the CLPKP), the Council’s housing supply and housing delivery will be assessed against the figure of 628 dwellings per annum, rather than the previously adopted housing target of 435 dwellings per annum. The housing supply position will be reviewed at that time, but there is a risk that the Council will not be able to continue to demonstrate a robust five-year supply of housing land as required in national policy, and the presumption in favour of sustainable development set out in the NPPF will apply. The position is different in parishes which have a made neighbourhood plan which allocates land for housing. In that case, the Council will need to be able to demonstrate a three-year supply of housing, but this only applies if the neighbourhood plan was made within the past two years.</w:t>
      </w:r>
      <w:r w:rsidRPr="00B20974">
        <w:rPr>
          <w:rFonts w:asciiTheme="minorHAnsi" w:hAnsiTheme="minorHAnsi"/>
          <w:szCs w:val="22"/>
        </w:rPr>
        <w:t xml:space="preserve"> </w:t>
      </w:r>
    </w:p>
    <w:p w:rsidR="00382A3C" w:rsidRPr="00B20974" w:rsidRDefault="00382A3C" w:rsidP="00382A3C">
      <w:pPr>
        <w:pStyle w:val="PlainText"/>
        <w:rPr>
          <w:rFonts w:asciiTheme="minorHAnsi" w:hAnsiTheme="minorHAnsi"/>
          <w:szCs w:val="22"/>
        </w:rPr>
      </w:pPr>
      <w:r w:rsidRPr="00B20974">
        <w:rPr>
          <w:rFonts w:asciiTheme="minorHAnsi" w:hAnsiTheme="minorHAnsi"/>
          <w:b/>
          <w:szCs w:val="22"/>
        </w:rPr>
        <w:t>Comment 1:</w:t>
      </w:r>
      <w:r w:rsidRPr="00B20974">
        <w:rPr>
          <w:rFonts w:asciiTheme="minorHAnsi" w:hAnsiTheme="minorHAnsi"/>
          <w:szCs w:val="22"/>
        </w:rPr>
        <w:t xml:space="preserve">  </w:t>
      </w:r>
      <w:r w:rsidRPr="00B20974">
        <w:rPr>
          <w:rFonts w:asciiTheme="minorHAnsi" w:hAnsiTheme="minorHAnsi"/>
          <w:szCs w:val="22"/>
          <w:highlight w:val="yellow"/>
        </w:rPr>
        <w:t>Note:   'Government's standard methodology for assessing housing need'</w:t>
      </w:r>
      <w:r w:rsidRPr="00B20974">
        <w:rPr>
          <w:rFonts w:asciiTheme="minorHAnsi" w:hAnsiTheme="minorHAnsi"/>
          <w:szCs w:val="22"/>
        </w:rPr>
        <w:t xml:space="preserve">: this is a centralised method of assessment, which is neither based on an actual local assessment of need, nor on the amount of land available, nor the suitability of large-scale development in respect of harm to environment and wildlife it supports. The Government has required that CDC build 12500 housing units in the next phase of planning which ends 2035. </w:t>
      </w:r>
    </w:p>
    <w:p w:rsidR="00382A3C" w:rsidRPr="00B20974" w:rsidRDefault="00382A3C" w:rsidP="00382A3C">
      <w:pPr>
        <w:pStyle w:val="PlainText"/>
        <w:rPr>
          <w:rFonts w:asciiTheme="minorHAnsi" w:hAnsiTheme="minorHAnsi"/>
          <w:szCs w:val="22"/>
        </w:rPr>
      </w:pPr>
      <w:r w:rsidRPr="00B20974">
        <w:rPr>
          <w:rFonts w:asciiTheme="minorHAnsi" w:hAnsiTheme="minorHAnsi"/>
          <w:szCs w:val="22"/>
        </w:rPr>
        <w:t xml:space="preserve">Within the Chichester District area </w:t>
      </w:r>
      <w:r>
        <w:t xml:space="preserve">67.1% </w:t>
      </w:r>
      <w:r w:rsidRPr="00B20974">
        <w:rPr>
          <w:rFonts w:asciiTheme="minorHAnsi" w:hAnsiTheme="minorHAnsi"/>
          <w:szCs w:val="22"/>
        </w:rPr>
        <w:t>of its land is occupied by the SDNP (South Downs National Park), and a further 3.5% is occupied by the CHAONB (Chichester Harbour Area of Outstanding Natural Beauty)</w:t>
      </w:r>
      <w:r w:rsidRPr="00B20974">
        <w:rPr>
          <w:rStyle w:val="FootnoteReference"/>
          <w:rFonts w:asciiTheme="minorHAnsi" w:hAnsiTheme="minorHAnsi"/>
          <w:szCs w:val="22"/>
        </w:rPr>
        <w:footnoteReference w:id="1"/>
      </w:r>
      <w:r w:rsidRPr="00B20974">
        <w:rPr>
          <w:rFonts w:asciiTheme="minorHAnsi" w:hAnsiTheme="minorHAnsi"/>
          <w:szCs w:val="22"/>
        </w:rPr>
        <w:t>.</w:t>
      </w:r>
    </w:p>
    <w:p w:rsidR="009430C6" w:rsidRDefault="009430C6"/>
    <w:p w:rsidR="00382A3C" w:rsidRDefault="00382A3C" w:rsidP="00382A3C">
      <w:pPr>
        <w:pStyle w:val="FootnoteText"/>
        <w:rPr>
          <w:rStyle w:val="Hyperlink"/>
        </w:rPr>
      </w:pPr>
      <w:r w:rsidRPr="00852F69">
        <w:rPr>
          <w:rStyle w:val="FootnoteReference"/>
        </w:rPr>
        <w:footnoteRef/>
      </w:r>
      <w:r w:rsidRPr="00852F69">
        <w:t xml:space="preserve"> </w:t>
      </w:r>
      <w:r>
        <w:t xml:space="preserve">The Memorandum of Understanding between SDNP and CDC (April 2018) asserted a figure of 67.1%  </w:t>
      </w:r>
      <w:hyperlink r:id="rId6" w:history="1">
        <w:r w:rsidRPr="00AA7138">
          <w:rPr>
            <w:rStyle w:val="Hyperlink"/>
          </w:rPr>
          <w:t>ttps://www.southdowns.gov.uk/wp-content/uploads/2018/04/SCG05-Chichester.pdf</w:t>
        </w:r>
      </w:hyperlink>
      <w:r>
        <w:rPr>
          <w:rStyle w:val="Hyperlink"/>
        </w:rPr>
        <w:t>,</w:t>
      </w:r>
    </w:p>
    <w:p w:rsidR="00382A3C" w:rsidRDefault="00382A3C" w:rsidP="00382A3C">
      <w:pPr>
        <w:pStyle w:val="FootnoteText"/>
      </w:pPr>
      <w:proofErr w:type="gramStart"/>
      <w:r>
        <w:t>However</w:t>
      </w:r>
      <w:proofErr w:type="gramEnd"/>
      <w:r>
        <w:t xml:space="preserve"> the m</w:t>
      </w:r>
      <w:r w:rsidRPr="00852F69">
        <w:t xml:space="preserve">easurements </w:t>
      </w:r>
      <w:r>
        <w:t xml:space="preserve">of the </w:t>
      </w:r>
      <w:r w:rsidRPr="00852F69">
        <w:t xml:space="preserve">AONB within CD </w:t>
      </w:r>
      <w:r>
        <w:t xml:space="preserve">were </w:t>
      </w:r>
      <w:r w:rsidRPr="00852F69">
        <w:t>calculated by Nick Pyke, qualified Landscape Architect, MLI (retired) 2020</w:t>
      </w:r>
      <w:r>
        <w:t>.,</w:t>
      </w:r>
    </w:p>
    <w:p w:rsidR="00382A3C" w:rsidRDefault="00382A3C">
      <w:bookmarkStart w:id="0" w:name="_GoBack"/>
      <w:bookmarkEnd w:id="0"/>
    </w:p>
    <w:sectPr w:rsidR="00382A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D4C" w:rsidRDefault="00A30D4C" w:rsidP="00382A3C">
      <w:r>
        <w:separator/>
      </w:r>
    </w:p>
  </w:endnote>
  <w:endnote w:type="continuationSeparator" w:id="0">
    <w:p w:rsidR="00A30D4C" w:rsidRDefault="00A30D4C" w:rsidP="0038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D4C" w:rsidRDefault="00A30D4C" w:rsidP="00382A3C">
      <w:r>
        <w:separator/>
      </w:r>
    </w:p>
  </w:footnote>
  <w:footnote w:type="continuationSeparator" w:id="0">
    <w:p w:rsidR="00A30D4C" w:rsidRDefault="00A30D4C" w:rsidP="00382A3C">
      <w:r>
        <w:continuationSeparator/>
      </w:r>
    </w:p>
  </w:footnote>
  <w:footnote w:id="1">
    <w:p w:rsidR="00382A3C" w:rsidRDefault="00382A3C" w:rsidP="00382A3C">
      <w:pPr>
        <w:pStyle w:val="FootnoteText"/>
        <w:rPr>
          <w:rStyle w:val="Hyperlink"/>
        </w:rPr>
      </w:pPr>
      <w:r w:rsidRPr="00852F69">
        <w:rPr>
          <w:rStyle w:val="FootnoteReference"/>
        </w:rPr>
        <w:footnoteRef/>
      </w:r>
      <w:r w:rsidRPr="00852F69">
        <w:t xml:space="preserve"> </w:t>
      </w:r>
      <w:r>
        <w:t xml:space="preserve">The Memorandum of Understanding between SDNP and CDC (April 2018) asserted a figure of 67.1%  </w:t>
      </w:r>
      <w:hyperlink r:id="rId1" w:history="1">
        <w:r w:rsidRPr="00AA7138">
          <w:rPr>
            <w:rStyle w:val="Hyperlink"/>
          </w:rPr>
          <w:t>ttps://www.southdowns.gov.uk/wp-content/uploads/2018/04/SCG05-Chichester.pdf</w:t>
        </w:r>
      </w:hyperlink>
      <w:r>
        <w:rPr>
          <w:rStyle w:val="Hyperlink"/>
        </w:rPr>
        <w:t>,</w:t>
      </w:r>
    </w:p>
    <w:p w:rsidR="00382A3C" w:rsidRDefault="00382A3C" w:rsidP="00382A3C">
      <w:pPr>
        <w:pStyle w:val="FootnoteText"/>
      </w:pPr>
      <w:proofErr w:type="gramStart"/>
      <w:r>
        <w:t>However</w:t>
      </w:r>
      <w:proofErr w:type="gramEnd"/>
      <w:r>
        <w:t xml:space="preserve"> the m</w:t>
      </w:r>
      <w:r w:rsidRPr="00852F69">
        <w:t xml:space="preserve">easurements </w:t>
      </w:r>
      <w:r>
        <w:t xml:space="preserve">of the </w:t>
      </w:r>
      <w:r w:rsidRPr="00852F69">
        <w:t xml:space="preserve">AONB within CD </w:t>
      </w:r>
      <w:r>
        <w:t xml:space="preserve">were </w:t>
      </w:r>
      <w:r w:rsidRPr="00852F69">
        <w:t>calculated by Nick Pyke, qualified Landscape Architect, MLI (retired) 2020</w:t>
      </w:r>
      <w:r>
        <w:t>.,</w:t>
      </w:r>
    </w:p>
    <w:p w:rsidR="00382A3C" w:rsidRPr="00852F69" w:rsidRDefault="00382A3C" w:rsidP="00382A3C">
      <w:pPr>
        <w:rPr>
          <w:sz w:val="20"/>
          <w:szCs w:val="20"/>
        </w:rPr>
      </w:pPr>
    </w:p>
    <w:p w:rsidR="00382A3C" w:rsidRPr="00852F69" w:rsidRDefault="00382A3C" w:rsidP="00382A3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3C"/>
    <w:rsid w:val="00382A3C"/>
    <w:rsid w:val="009430C6"/>
    <w:rsid w:val="00A30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289B"/>
  <w15:chartTrackingRefBased/>
  <w15:docId w15:val="{DEB7FAEC-BA0B-4553-A7B5-96E278E4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3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A3C"/>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382A3C"/>
    <w:rPr>
      <w:sz w:val="20"/>
      <w:szCs w:val="20"/>
    </w:rPr>
  </w:style>
  <w:style w:type="character" w:customStyle="1" w:styleId="FootnoteTextChar">
    <w:name w:val="Footnote Text Char"/>
    <w:basedOn w:val="DefaultParagraphFont"/>
    <w:link w:val="FootnoteText"/>
    <w:uiPriority w:val="99"/>
    <w:semiHidden/>
    <w:rsid w:val="00382A3C"/>
    <w:rPr>
      <w:sz w:val="20"/>
      <w:szCs w:val="20"/>
    </w:rPr>
  </w:style>
  <w:style w:type="character" w:styleId="FootnoteReference">
    <w:name w:val="footnote reference"/>
    <w:basedOn w:val="DefaultParagraphFont"/>
    <w:uiPriority w:val="99"/>
    <w:semiHidden/>
    <w:unhideWhenUsed/>
    <w:rsid w:val="00382A3C"/>
    <w:rPr>
      <w:vertAlign w:val="superscript"/>
    </w:rPr>
  </w:style>
  <w:style w:type="character" w:styleId="Hyperlink">
    <w:name w:val="Hyperlink"/>
    <w:basedOn w:val="DefaultParagraphFont"/>
    <w:uiPriority w:val="99"/>
    <w:unhideWhenUsed/>
    <w:rsid w:val="00382A3C"/>
    <w:rPr>
      <w:color w:val="0563C1" w:themeColor="hyperlink"/>
      <w:u w:val="single"/>
    </w:rPr>
  </w:style>
  <w:style w:type="paragraph" w:styleId="PlainText">
    <w:name w:val="Plain Text"/>
    <w:basedOn w:val="Normal"/>
    <w:link w:val="PlainTextChar"/>
    <w:uiPriority w:val="99"/>
    <w:unhideWhenUsed/>
    <w:rsid w:val="00382A3C"/>
    <w:rPr>
      <w:rFonts w:ascii="Calibri" w:hAnsi="Calibri"/>
      <w:sz w:val="22"/>
      <w:szCs w:val="21"/>
    </w:rPr>
  </w:style>
  <w:style w:type="character" w:customStyle="1" w:styleId="PlainTextChar">
    <w:name w:val="Plain Text Char"/>
    <w:basedOn w:val="DefaultParagraphFont"/>
    <w:link w:val="PlainText"/>
    <w:uiPriority w:val="99"/>
    <w:rsid w:val="00382A3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downs.gov.uk/wp-content/uploads/2018/04/SCG05-Chichester.pdf"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outhdowns.gov.uk/wp-content/uploads/2018/04/SCG05-Chiches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Pratt</dc:creator>
  <cp:keywords/>
  <dc:description/>
  <cp:lastModifiedBy>Richard Pratt</cp:lastModifiedBy>
  <cp:revision>1</cp:revision>
  <dcterms:created xsi:type="dcterms:W3CDTF">2020-07-01T07:58:00Z</dcterms:created>
  <dcterms:modified xsi:type="dcterms:W3CDTF">2020-07-01T08:01:00Z</dcterms:modified>
</cp:coreProperties>
</file>