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39E94A01"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6C23433A"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Paul</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42E9904"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White</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DFF248B"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Director of Planning</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F257E8"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Smith Simmons &amp; Partners</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1E262227" w:rsidR="00AE2F13" w:rsidRPr="00820DAB" w:rsidRDefault="00AE2F13" w:rsidP="00644675">
            <w:pPr>
              <w:ind w:left="-3" w:firstLine="3"/>
              <w:rPr>
                <w:rFonts w:ascii="Arial" w:hAnsi="Arial" w:cs="Arial"/>
              </w:rPr>
            </w:pPr>
            <w:r w:rsidRPr="00820DAB">
              <w:rPr>
                <w:rFonts w:ascii="Arial" w:hAnsi="Arial" w:cs="Arial"/>
              </w:rPr>
              <w:t> </w:t>
            </w:r>
            <w:r w:rsidR="002D00F8">
              <w:rPr>
                <w:rFonts w:ascii="Arial" w:hAnsi="Arial" w:cs="Arial"/>
              </w:rPr>
              <w:t>Greenwood Group Ltd</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074D1D9"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32 North Street</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2B099B47"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Chichester</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1B4ED7E6"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West Sussex</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0F57E061"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PO19 1LX</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888142D"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01243 850411</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37C15EBC"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paul@ss-p.co.uk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06B2B066" w:rsidR="00AE2F13" w:rsidRPr="007A56D5" w:rsidRDefault="00AE2F13" w:rsidP="00644675">
            <w:pPr>
              <w:rPr>
                <w:rFonts w:ascii="Arial" w:hAnsi="Arial" w:cs="Arial"/>
                <w:szCs w:val="32"/>
              </w:rPr>
            </w:pPr>
            <w:r w:rsidRPr="007A56D5">
              <w:rPr>
                <w:rFonts w:ascii="Arial" w:hAnsi="Arial" w:cs="Arial"/>
                <w:szCs w:val="32"/>
              </w:rPr>
              <w:t>Name or Organisation:</w:t>
            </w:r>
            <w:r w:rsidR="00C07D2F">
              <w:rPr>
                <w:rFonts w:ascii="Arial" w:hAnsi="Arial" w:cs="Arial"/>
                <w:szCs w:val="32"/>
              </w:rPr>
              <w:t xml:space="preserve"> </w:t>
            </w:r>
            <w:r w:rsidR="00DD6544">
              <w:rPr>
                <w:rFonts w:ascii="Arial" w:hAnsi="Arial" w:cs="Arial"/>
                <w:szCs w:val="32"/>
              </w:rPr>
              <w:t>Greenwood Group Ltd</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821664C" w:rsidR="00AE2F13" w:rsidRPr="007A56D5" w:rsidRDefault="00C07D2F" w:rsidP="00644675">
            <w:pPr>
              <w:rPr>
                <w:rFonts w:ascii="Arial" w:hAnsi="Arial" w:cs="Arial"/>
                <w:szCs w:val="32"/>
              </w:rPr>
            </w:pPr>
            <w:r>
              <w:rPr>
                <w:rFonts w:ascii="Arial" w:hAnsi="Arial" w:cs="Arial"/>
                <w:szCs w:val="32"/>
              </w:rPr>
              <w:t>See below</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323766F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323766FB" w:rsidR="00BF6EF1" w:rsidRDefault="00C07D2F" w:rsidP="00BF6EF1">
                            <w: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462806AD"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462806AD"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0EE25D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0EE25DB" w:rsidR="00BF6EF1" w:rsidRDefault="00C07D2F" w:rsidP="00BF6EF1">
                            <w: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0B2F07B9" w:rsidR="00AE2F13" w:rsidRDefault="00C07D2F" w:rsidP="00AE2F13">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0B2F07B9" w:rsidR="00AE2F13" w:rsidRDefault="00C07D2F" w:rsidP="00AE2F13">
                            <w:r>
                              <w:sym w:font="Wingdings" w:char="F0FC"/>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48AF8CC9" w14:textId="5A9B20C0" w:rsidR="00DD208A" w:rsidRPr="00597DE8" w:rsidRDefault="00DD208A" w:rsidP="00DD208A">
            <w:pPr>
              <w:spacing w:line="293" w:lineRule="auto"/>
              <w:jc w:val="both"/>
              <w:rPr>
                <w:rFonts w:ascii="Arial" w:hAnsi="Arial" w:cs="Arial"/>
                <w:sz w:val="21"/>
                <w:szCs w:val="21"/>
              </w:rPr>
            </w:pPr>
            <w:r w:rsidRPr="00597DE8">
              <w:rPr>
                <w:rFonts w:ascii="Arial" w:hAnsi="Arial" w:cs="Arial"/>
                <w:sz w:val="21"/>
                <w:szCs w:val="21"/>
              </w:rPr>
              <w:t xml:space="preserve">The ‘tests of soundness’ for Local Plan preparation are set out in paragraph 35 of the </w:t>
            </w:r>
            <w:r w:rsidR="00820264" w:rsidRPr="00597DE8">
              <w:rPr>
                <w:rFonts w:ascii="Arial" w:hAnsi="Arial" w:cs="Arial"/>
                <w:sz w:val="21"/>
                <w:szCs w:val="21"/>
              </w:rPr>
              <w:t xml:space="preserve">July 2021 </w:t>
            </w:r>
            <w:r w:rsidRPr="00597DE8">
              <w:rPr>
                <w:rFonts w:ascii="Arial" w:hAnsi="Arial" w:cs="Arial"/>
                <w:sz w:val="21"/>
                <w:szCs w:val="21"/>
              </w:rPr>
              <w:t>NPPF. They require the 20</w:t>
            </w:r>
            <w:r w:rsidR="00820264" w:rsidRPr="00597DE8">
              <w:rPr>
                <w:rFonts w:ascii="Arial" w:hAnsi="Arial" w:cs="Arial"/>
                <w:sz w:val="21"/>
                <w:szCs w:val="21"/>
              </w:rPr>
              <w:t>21</w:t>
            </w:r>
            <w:r w:rsidRPr="00597DE8">
              <w:rPr>
                <w:rFonts w:ascii="Arial" w:hAnsi="Arial" w:cs="Arial"/>
                <w:sz w:val="21"/>
                <w:szCs w:val="21"/>
              </w:rPr>
              <w:t>-3</w:t>
            </w:r>
            <w:r w:rsidR="00820264" w:rsidRPr="00597DE8">
              <w:rPr>
                <w:rFonts w:ascii="Arial" w:hAnsi="Arial" w:cs="Arial"/>
                <w:sz w:val="21"/>
                <w:szCs w:val="21"/>
              </w:rPr>
              <w:t>9</w:t>
            </w:r>
            <w:r w:rsidRPr="00597DE8">
              <w:rPr>
                <w:rFonts w:ascii="Arial" w:hAnsi="Arial" w:cs="Arial"/>
                <w:sz w:val="21"/>
                <w:szCs w:val="21"/>
              </w:rPr>
              <w:t xml:space="preserve"> Local Plan to have been:</w:t>
            </w:r>
          </w:p>
          <w:p w14:paraId="0C444044" w14:textId="77777777" w:rsidR="00597DE8" w:rsidRPr="009F2E4E" w:rsidRDefault="00597DE8" w:rsidP="00DD208A">
            <w:pPr>
              <w:spacing w:line="293" w:lineRule="auto"/>
              <w:jc w:val="both"/>
              <w:rPr>
                <w:rFonts w:ascii="Arial" w:hAnsi="Arial" w:cs="Arial"/>
                <w:sz w:val="21"/>
              </w:rPr>
            </w:pPr>
          </w:p>
          <w:p w14:paraId="11B8C3B4"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Positively prepared </w:t>
            </w:r>
            <w:r w:rsidRPr="00597DE8">
              <w:rPr>
                <w:sz w:val="21"/>
                <w:szCs w:val="21"/>
              </w:rPr>
              <w:t xml:space="preserve">–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w:t>
            </w:r>
          </w:p>
          <w:p w14:paraId="78388B35"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Justified </w:t>
            </w:r>
            <w:r w:rsidRPr="00597DE8">
              <w:rPr>
                <w:sz w:val="21"/>
                <w:szCs w:val="21"/>
              </w:rPr>
              <w:t xml:space="preserve">– an appropriate strategy, taking into account the reasonable alternatives, and based on proportionate evidence; </w:t>
            </w:r>
          </w:p>
          <w:p w14:paraId="2C4160A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Effective </w:t>
            </w:r>
            <w:r w:rsidRPr="00597DE8">
              <w:rPr>
                <w:sz w:val="21"/>
                <w:szCs w:val="21"/>
              </w:rPr>
              <w:t xml:space="preserve">– deliverable over the plan period, and based on effective joint working on cross-boundary strategic matters that have been dealt with rather than deferred, as evidenced by the statement of common ground; and </w:t>
            </w:r>
          </w:p>
          <w:p w14:paraId="6325857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Consistent with national policy </w:t>
            </w:r>
            <w:r w:rsidRPr="00597DE8">
              <w:rPr>
                <w:sz w:val="21"/>
                <w:szCs w:val="21"/>
              </w:rPr>
              <w:t xml:space="preserve">– enabling the delivery of sustainable development in accordance with the policies in this Framework. </w:t>
            </w:r>
          </w:p>
          <w:p w14:paraId="724D5C8E" w14:textId="77777777" w:rsidR="00D3559A" w:rsidRDefault="00D3559A" w:rsidP="00E347A5">
            <w:pPr>
              <w:spacing w:line="293" w:lineRule="auto"/>
              <w:jc w:val="both"/>
              <w:rPr>
                <w:rFonts w:ascii="Arial" w:hAnsi="Arial" w:cs="Arial"/>
                <w:sz w:val="21"/>
              </w:rPr>
            </w:pPr>
          </w:p>
          <w:p w14:paraId="21165F89" w14:textId="654919C2" w:rsidR="00DD6544" w:rsidRPr="00DD6544" w:rsidRDefault="00C50DE9" w:rsidP="00DD6544">
            <w:pPr>
              <w:spacing w:line="293" w:lineRule="auto"/>
              <w:jc w:val="both"/>
              <w:rPr>
                <w:rFonts w:ascii="Arial" w:hAnsi="Arial" w:cs="Arial"/>
                <w:sz w:val="21"/>
              </w:rPr>
            </w:pPr>
            <w:r>
              <w:rPr>
                <w:rFonts w:ascii="Arial" w:hAnsi="Arial" w:cs="Arial"/>
                <w:sz w:val="21"/>
              </w:rPr>
              <w:t>Our</w:t>
            </w:r>
            <w:r w:rsidR="00E347A5" w:rsidRPr="00E347A5">
              <w:rPr>
                <w:rFonts w:ascii="Arial" w:hAnsi="Arial" w:cs="Arial"/>
                <w:sz w:val="21"/>
              </w:rPr>
              <w:t xml:space="preserve"> </w:t>
            </w:r>
            <w:r w:rsidR="00D3559A">
              <w:rPr>
                <w:rFonts w:ascii="Arial" w:hAnsi="Arial" w:cs="Arial"/>
                <w:sz w:val="21"/>
              </w:rPr>
              <w:t>comments</w:t>
            </w:r>
            <w:r w:rsidR="00A0252D">
              <w:rPr>
                <w:rFonts w:ascii="Arial" w:hAnsi="Arial" w:cs="Arial"/>
                <w:sz w:val="21"/>
              </w:rPr>
              <w:t xml:space="preserve"> </w:t>
            </w:r>
            <w:r w:rsidR="00D3559A">
              <w:rPr>
                <w:rFonts w:ascii="Arial" w:hAnsi="Arial" w:cs="Arial"/>
                <w:sz w:val="21"/>
              </w:rPr>
              <w:t>concern</w:t>
            </w:r>
            <w:r w:rsidR="00E347A5" w:rsidRPr="00E347A5">
              <w:rPr>
                <w:rFonts w:ascii="Arial" w:hAnsi="Arial" w:cs="Arial"/>
                <w:sz w:val="21"/>
              </w:rPr>
              <w:t xml:space="preserve"> </w:t>
            </w:r>
            <w:r w:rsidR="00DD6544" w:rsidRPr="00DD6544">
              <w:rPr>
                <w:rFonts w:ascii="Arial" w:hAnsi="Arial" w:cs="Arial"/>
                <w:sz w:val="21"/>
              </w:rPr>
              <w:t xml:space="preserve">the </w:t>
            </w:r>
            <w:r w:rsidR="006D2668">
              <w:rPr>
                <w:rFonts w:ascii="Arial" w:hAnsi="Arial" w:cs="Arial"/>
                <w:sz w:val="21"/>
              </w:rPr>
              <w:t xml:space="preserve">Sustainability Appraisal for the Local Plan and the </w:t>
            </w:r>
            <w:r w:rsidR="00DD6544" w:rsidRPr="00DD6544">
              <w:rPr>
                <w:rFonts w:ascii="Arial" w:hAnsi="Arial" w:cs="Arial"/>
                <w:sz w:val="21"/>
              </w:rPr>
              <w:t xml:space="preserve">following policies in connection with Sidlesham: </w:t>
            </w:r>
            <w:r w:rsidR="008A1016">
              <w:rPr>
                <w:rFonts w:ascii="Arial" w:hAnsi="Arial" w:cs="Arial"/>
                <w:sz w:val="21"/>
              </w:rPr>
              <w:t xml:space="preserve">S2 - </w:t>
            </w:r>
            <w:r w:rsidR="00DD6544" w:rsidRPr="00DD6544">
              <w:rPr>
                <w:rFonts w:ascii="Arial" w:hAnsi="Arial" w:cs="Arial"/>
                <w:sz w:val="21"/>
              </w:rPr>
              <w:t xml:space="preserve">Settlement Hierarchy </w:t>
            </w:r>
            <w:r w:rsidR="00303D43">
              <w:rPr>
                <w:rFonts w:ascii="Arial" w:hAnsi="Arial" w:cs="Arial"/>
                <w:sz w:val="21"/>
              </w:rPr>
              <w:t xml:space="preserve">and </w:t>
            </w:r>
            <w:r w:rsidR="00DD6544" w:rsidRPr="00DD6544">
              <w:rPr>
                <w:rFonts w:ascii="Arial" w:hAnsi="Arial" w:cs="Arial"/>
                <w:sz w:val="21"/>
              </w:rPr>
              <w:t>Parish Housing Sites</w:t>
            </w:r>
            <w:r w:rsidR="008A1016">
              <w:rPr>
                <w:rFonts w:ascii="Arial" w:hAnsi="Arial" w:cs="Arial"/>
                <w:sz w:val="21"/>
              </w:rPr>
              <w:t xml:space="preserve"> - </w:t>
            </w:r>
            <w:r w:rsidR="00303D43">
              <w:rPr>
                <w:rFonts w:ascii="Arial" w:hAnsi="Arial" w:cs="Arial"/>
                <w:sz w:val="21"/>
              </w:rPr>
              <w:t xml:space="preserve">H3. </w:t>
            </w:r>
            <w:r w:rsidR="008A1016">
              <w:rPr>
                <w:rFonts w:ascii="Arial" w:hAnsi="Arial" w:cs="Arial"/>
                <w:sz w:val="21"/>
              </w:rPr>
              <w:t xml:space="preserve">In our view, Sidlesham should be re classified as a service village in the hierarchy and allocated a modest level of development. This would improve the overall plan in terms of it performance against the ‘justified’ test of soundness.  </w:t>
            </w:r>
          </w:p>
          <w:p w14:paraId="2A2D61ED" w14:textId="365C6B7C" w:rsidR="006D2668" w:rsidRDefault="006D2668" w:rsidP="00DD6544">
            <w:pPr>
              <w:spacing w:line="293" w:lineRule="auto"/>
              <w:jc w:val="both"/>
              <w:rPr>
                <w:rFonts w:ascii="Arial" w:hAnsi="Arial" w:cs="Arial"/>
                <w:b/>
                <w:bCs/>
                <w:sz w:val="21"/>
              </w:rPr>
            </w:pPr>
            <w:r>
              <w:rPr>
                <w:rFonts w:ascii="Arial" w:hAnsi="Arial" w:cs="Arial"/>
                <w:b/>
                <w:bCs/>
                <w:sz w:val="21"/>
              </w:rPr>
              <w:lastRenderedPageBreak/>
              <w:t>Sustainability Appraisal</w:t>
            </w:r>
            <w:r w:rsidR="00303D43">
              <w:rPr>
                <w:rFonts w:ascii="Arial" w:hAnsi="Arial" w:cs="Arial"/>
                <w:b/>
                <w:bCs/>
                <w:sz w:val="21"/>
              </w:rPr>
              <w:t xml:space="preserve"> (SA)</w:t>
            </w:r>
          </w:p>
          <w:p w14:paraId="03BD2F54" w14:textId="3095B6ED" w:rsidR="00303D43" w:rsidRDefault="006D2668" w:rsidP="00DD6544">
            <w:pPr>
              <w:spacing w:line="293" w:lineRule="auto"/>
              <w:jc w:val="both"/>
              <w:rPr>
                <w:rFonts w:ascii="Arial" w:hAnsi="Arial" w:cs="Arial"/>
                <w:sz w:val="21"/>
              </w:rPr>
            </w:pPr>
            <w:r>
              <w:rPr>
                <w:rFonts w:ascii="Arial" w:hAnsi="Arial" w:cs="Arial"/>
                <w:sz w:val="21"/>
              </w:rPr>
              <w:t>This forms part of the evidence base for the Local Plan Review.</w:t>
            </w:r>
            <w:r w:rsidR="00303D43">
              <w:rPr>
                <w:rFonts w:ascii="Arial" w:hAnsi="Arial" w:cs="Arial"/>
                <w:sz w:val="21"/>
              </w:rPr>
              <w:t xml:space="preserve"> It has updated the SA prepared for the last Preferred Approach 2018 Local Plan.</w:t>
            </w:r>
            <w:r w:rsidR="001D40E9">
              <w:t xml:space="preserve"> </w:t>
            </w:r>
            <w:r w:rsidR="001D40E9" w:rsidRPr="001D40E9">
              <w:rPr>
                <w:rFonts w:ascii="Arial" w:hAnsi="Arial" w:cs="Arial"/>
                <w:sz w:val="21"/>
                <w:szCs w:val="21"/>
              </w:rPr>
              <w:t xml:space="preserve">We note from </w:t>
            </w:r>
            <w:r w:rsidR="001D40E9">
              <w:rPr>
                <w:rFonts w:ascii="Arial" w:hAnsi="Arial" w:cs="Arial"/>
                <w:sz w:val="21"/>
                <w:szCs w:val="21"/>
              </w:rPr>
              <w:t xml:space="preserve">paragraph </w:t>
            </w:r>
            <w:r w:rsidR="001D40E9" w:rsidRPr="001D40E9">
              <w:rPr>
                <w:rFonts w:ascii="Arial" w:hAnsi="Arial" w:cs="Arial"/>
                <w:sz w:val="21"/>
                <w:szCs w:val="21"/>
              </w:rPr>
              <w:t>5.2.11</w:t>
            </w:r>
            <w:r w:rsidR="001D40E9">
              <w:t xml:space="preserve"> </w:t>
            </w:r>
            <w:r w:rsidR="001D40E9" w:rsidRPr="001D40E9">
              <w:rPr>
                <w:rFonts w:ascii="Arial" w:hAnsi="Arial" w:cs="Arial"/>
                <w:sz w:val="21"/>
                <w:szCs w:val="21"/>
              </w:rPr>
              <w:t>of the updated SA</w:t>
            </w:r>
            <w:r w:rsidR="001D40E9">
              <w:rPr>
                <w:rFonts w:ascii="Arial" w:hAnsi="Arial" w:cs="Arial"/>
                <w:sz w:val="21"/>
                <w:szCs w:val="21"/>
              </w:rPr>
              <w:t xml:space="preserve"> that</w:t>
            </w:r>
            <w:r w:rsidR="001D40E9">
              <w:t xml:space="preserve"> </w:t>
            </w:r>
            <w:r w:rsidR="001D40E9" w:rsidRPr="001D40E9">
              <w:rPr>
                <w:rFonts w:ascii="Arial" w:hAnsi="Arial" w:cs="Arial"/>
                <w:sz w:val="21"/>
              </w:rPr>
              <w:t xml:space="preserve">the southern </w:t>
            </w:r>
            <w:r w:rsidR="001D40E9">
              <w:rPr>
                <w:rFonts w:ascii="Arial" w:hAnsi="Arial" w:cs="Arial"/>
                <w:sz w:val="21"/>
              </w:rPr>
              <w:t xml:space="preserve">part of the </w:t>
            </w:r>
            <w:r w:rsidR="001D40E9" w:rsidRPr="001D40E9">
              <w:rPr>
                <w:rFonts w:ascii="Arial" w:hAnsi="Arial" w:cs="Arial"/>
                <w:sz w:val="21"/>
              </w:rPr>
              <w:t xml:space="preserve">plan area (i.e. the east west corridor and </w:t>
            </w:r>
            <w:r w:rsidR="001D40E9">
              <w:rPr>
                <w:rFonts w:ascii="Arial" w:hAnsi="Arial" w:cs="Arial"/>
                <w:sz w:val="21"/>
              </w:rPr>
              <w:t xml:space="preserve">the </w:t>
            </w:r>
            <w:r w:rsidR="001D40E9" w:rsidRPr="001D40E9">
              <w:rPr>
                <w:rFonts w:ascii="Arial" w:hAnsi="Arial" w:cs="Arial"/>
                <w:sz w:val="21"/>
              </w:rPr>
              <w:t>Manhood Peninsula) is highly constrained by capacity on the A27. Detailed discussions with National Highways and WSCC, over the course of 2019-2022, have led to a resolution that there is capacity for no more than 535 dpa in this area</w:t>
            </w:r>
            <w:r w:rsidR="001D40E9">
              <w:rPr>
                <w:rFonts w:ascii="Arial" w:hAnsi="Arial" w:cs="Arial"/>
                <w:sz w:val="21"/>
              </w:rPr>
              <w:t xml:space="preserve"> (with a further 40 dpa in the north part of the District outside the National Park).</w:t>
            </w:r>
            <w:r w:rsidR="00C72C3C">
              <w:rPr>
                <w:rFonts w:ascii="Arial" w:hAnsi="Arial" w:cs="Arial"/>
                <w:sz w:val="21"/>
              </w:rPr>
              <w:t xml:space="preserve"> This contrasts with the actual housing need for the area of 638dpa.</w:t>
            </w:r>
          </w:p>
          <w:p w14:paraId="7A977FD4" w14:textId="210FF123" w:rsidR="00C72C3C" w:rsidRDefault="00C72C3C" w:rsidP="00DD6544">
            <w:pPr>
              <w:spacing w:line="293" w:lineRule="auto"/>
              <w:jc w:val="both"/>
              <w:rPr>
                <w:rFonts w:ascii="Arial" w:hAnsi="Arial" w:cs="Arial"/>
                <w:sz w:val="21"/>
              </w:rPr>
            </w:pPr>
          </w:p>
          <w:p w14:paraId="7BA28EC6" w14:textId="360DA742" w:rsidR="00C72C3C" w:rsidRDefault="006E32B0" w:rsidP="00DD6544">
            <w:pPr>
              <w:spacing w:line="293" w:lineRule="auto"/>
              <w:jc w:val="both"/>
              <w:rPr>
                <w:rFonts w:ascii="Arial" w:hAnsi="Arial" w:cs="Arial"/>
                <w:sz w:val="21"/>
              </w:rPr>
            </w:pPr>
            <w:r>
              <w:rPr>
                <w:rFonts w:ascii="Arial" w:hAnsi="Arial" w:cs="Arial"/>
                <w:sz w:val="21"/>
              </w:rPr>
              <w:t xml:space="preserve">The figure of 535dpa has now been adopted for the submission Local Plan in the southern part of the plan area with no standard 10% supply buffer. </w:t>
            </w:r>
          </w:p>
          <w:p w14:paraId="1C96DB60" w14:textId="626ABB74" w:rsidR="006E32B0" w:rsidRDefault="006E32B0" w:rsidP="00DD6544">
            <w:pPr>
              <w:spacing w:line="293" w:lineRule="auto"/>
              <w:jc w:val="both"/>
              <w:rPr>
                <w:rFonts w:ascii="Arial" w:hAnsi="Arial" w:cs="Arial"/>
                <w:sz w:val="21"/>
              </w:rPr>
            </w:pPr>
          </w:p>
          <w:p w14:paraId="4098743E" w14:textId="77777777" w:rsidR="008F4257" w:rsidRDefault="006E32B0" w:rsidP="00DD6544">
            <w:pPr>
              <w:spacing w:line="293" w:lineRule="auto"/>
              <w:jc w:val="both"/>
              <w:rPr>
                <w:rFonts w:ascii="Arial" w:hAnsi="Arial" w:cs="Arial"/>
                <w:sz w:val="21"/>
              </w:rPr>
            </w:pPr>
            <w:r>
              <w:rPr>
                <w:rFonts w:ascii="Arial" w:hAnsi="Arial" w:cs="Arial"/>
                <w:sz w:val="21"/>
              </w:rPr>
              <w:t xml:space="preserve">Under providing against OAN will be a matter for discussion at Examination but even accepting the 535dpa can be justified in the south part of the district we still have concerns about the housing distribution for the manhood peninsula. For instance, </w:t>
            </w:r>
            <w:r w:rsidR="008F4257">
              <w:rPr>
                <w:rFonts w:ascii="Arial" w:hAnsi="Arial" w:cs="Arial"/>
                <w:sz w:val="21"/>
              </w:rPr>
              <w:t xml:space="preserve">in order to avoid traffic impact issues on the A27, </w:t>
            </w:r>
            <w:r>
              <w:rPr>
                <w:rFonts w:ascii="Arial" w:hAnsi="Arial" w:cs="Arial"/>
                <w:sz w:val="21"/>
              </w:rPr>
              <w:t xml:space="preserve">paragraph 5.2.23 of SA </w:t>
            </w:r>
            <w:r w:rsidR="008F4257">
              <w:rPr>
                <w:rFonts w:ascii="Arial" w:hAnsi="Arial" w:cs="Arial"/>
                <w:sz w:val="21"/>
              </w:rPr>
              <w:t>says this would need avoid or minimise</w:t>
            </w:r>
            <w:r w:rsidRPr="006E32B0">
              <w:rPr>
                <w:rFonts w:ascii="Arial" w:hAnsi="Arial" w:cs="Arial"/>
                <w:sz w:val="21"/>
              </w:rPr>
              <w:t xml:space="preserve"> growth on the Manhood Peninsula and weight growth to the west of Chichester</w:t>
            </w:r>
            <w:r w:rsidR="008F4257">
              <w:rPr>
                <w:rFonts w:ascii="Arial" w:hAnsi="Arial" w:cs="Arial"/>
                <w:sz w:val="21"/>
              </w:rPr>
              <w:t>.</w:t>
            </w:r>
            <w:r w:rsidRPr="006E32B0">
              <w:rPr>
                <w:rFonts w:ascii="Arial" w:hAnsi="Arial" w:cs="Arial"/>
                <w:sz w:val="21"/>
              </w:rPr>
              <w:t xml:space="preserve"> </w:t>
            </w:r>
            <w:r w:rsidR="008F4257">
              <w:rPr>
                <w:rFonts w:ascii="Arial" w:hAnsi="Arial" w:cs="Arial"/>
                <w:sz w:val="21"/>
              </w:rPr>
              <w:t xml:space="preserve">Paragraph </w:t>
            </w:r>
            <w:r>
              <w:rPr>
                <w:rFonts w:ascii="Arial" w:hAnsi="Arial" w:cs="Arial"/>
                <w:sz w:val="21"/>
              </w:rPr>
              <w:t xml:space="preserve">5.2.29 </w:t>
            </w:r>
            <w:r w:rsidR="008F4257">
              <w:rPr>
                <w:rFonts w:ascii="Arial" w:hAnsi="Arial" w:cs="Arial"/>
                <w:sz w:val="21"/>
              </w:rPr>
              <w:t>also states that growth should be limited on the peninsula because of</w:t>
            </w:r>
            <w:r w:rsidRPr="006E32B0">
              <w:rPr>
                <w:rFonts w:ascii="Arial" w:hAnsi="Arial" w:cs="Arial"/>
                <w:sz w:val="21"/>
              </w:rPr>
              <w:t xml:space="preserve"> the need to cross or join the problematic Stockbridge and Whyke A27 junctions</w:t>
            </w:r>
            <w:r w:rsidR="008F4257">
              <w:rPr>
                <w:rFonts w:ascii="Arial" w:hAnsi="Arial" w:cs="Arial"/>
                <w:sz w:val="21"/>
              </w:rPr>
              <w:t xml:space="preserve"> which is an issue for private car travel and bus connectivity.</w:t>
            </w:r>
            <w:r w:rsidRPr="006E32B0">
              <w:rPr>
                <w:rFonts w:ascii="Arial" w:hAnsi="Arial" w:cs="Arial"/>
                <w:sz w:val="21"/>
              </w:rPr>
              <w:t xml:space="preserve"> </w:t>
            </w:r>
          </w:p>
          <w:p w14:paraId="0A6245A7" w14:textId="77777777" w:rsidR="008F4257" w:rsidRDefault="008F4257" w:rsidP="00DD6544">
            <w:pPr>
              <w:spacing w:line="293" w:lineRule="auto"/>
              <w:jc w:val="both"/>
              <w:rPr>
                <w:rFonts w:ascii="Arial" w:hAnsi="Arial" w:cs="Arial"/>
                <w:sz w:val="21"/>
              </w:rPr>
            </w:pPr>
          </w:p>
          <w:p w14:paraId="591DCD45" w14:textId="3FE8D456" w:rsidR="006E32B0" w:rsidRDefault="008F4257" w:rsidP="00DD6544">
            <w:pPr>
              <w:spacing w:line="293" w:lineRule="auto"/>
              <w:jc w:val="both"/>
              <w:rPr>
                <w:rFonts w:ascii="Arial" w:hAnsi="Arial" w:cs="Arial"/>
                <w:sz w:val="21"/>
              </w:rPr>
            </w:pPr>
            <w:r>
              <w:rPr>
                <w:rFonts w:ascii="Arial" w:hAnsi="Arial" w:cs="Arial"/>
                <w:sz w:val="21"/>
              </w:rPr>
              <w:t xml:space="preserve">We disagree with this analysis however. 1) it does not explain why development to west of </w:t>
            </w:r>
            <w:r w:rsidR="00B940CF">
              <w:rPr>
                <w:rFonts w:ascii="Arial" w:hAnsi="Arial" w:cs="Arial"/>
                <w:sz w:val="21"/>
              </w:rPr>
              <w:t>Chichester</w:t>
            </w:r>
            <w:r>
              <w:rPr>
                <w:rFonts w:ascii="Arial" w:hAnsi="Arial" w:cs="Arial"/>
                <w:sz w:val="21"/>
              </w:rPr>
              <w:t xml:space="preserve"> </w:t>
            </w:r>
            <w:r w:rsidR="00B940CF">
              <w:rPr>
                <w:rFonts w:ascii="Arial" w:hAnsi="Arial" w:cs="Arial"/>
                <w:sz w:val="21"/>
              </w:rPr>
              <w:t>will not cause the same impacts of having to cross the A27 as suggested will occur for the peninsula; and 2)</w:t>
            </w:r>
            <w:r>
              <w:rPr>
                <w:rFonts w:ascii="Arial" w:hAnsi="Arial" w:cs="Arial"/>
                <w:sz w:val="21"/>
              </w:rPr>
              <w:t xml:space="preserve"> it assumes the direction of travel will always be towards Chichester</w:t>
            </w:r>
            <w:r w:rsidR="00B940CF">
              <w:rPr>
                <w:rFonts w:ascii="Arial" w:hAnsi="Arial" w:cs="Arial"/>
                <w:sz w:val="21"/>
              </w:rPr>
              <w:t xml:space="preserve">. However development on the peninsula could help support local facilities already present in the area and looking in the other direction, could help support </w:t>
            </w:r>
            <w:r w:rsidR="006E32B0" w:rsidRPr="006E32B0">
              <w:rPr>
                <w:rFonts w:ascii="Arial" w:hAnsi="Arial" w:cs="Arial"/>
                <w:sz w:val="21"/>
              </w:rPr>
              <w:t>the vitality of Selsey and East Wittering as settlement hubs</w:t>
            </w:r>
            <w:r w:rsidR="00B940CF">
              <w:rPr>
                <w:rFonts w:ascii="Arial" w:hAnsi="Arial" w:cs="Arial"/>
                <w:sz w:val="21"/>
              </w:rPr>
              <w:t xml:space="preserve">. 3) Development could also help the local economy on the peninsula and introduce a younger profile to the area which the SA notes has a very significant </w:t>
            </w:r>
            <w:r w:rsidR="006E32B0" w:rsidRPr="006E32B0">
              <w:rPr>
                <w:rFonts w:ascii="Arial" w:hAnsi="Arial" w:cs="Arial"/>
                <w:sz w:val="21"/>
              </w:rPr>
              <w:t xml:space="preserve">older age structure (33% of those living on the Manhood Peninsula are aged 65+). </w:t>
            </w:r>
          </w:p>
          <w:p w14:paraId="6226CC8B" w14:textId="0581EBFB" w:rsidR="00380151" w:rsidRDefault="00380151" w:rsidP="00DD6544">
            <w:pPr>
              <w:spacing w:line="293" w:lineRule="auto"/>
              <w:jc w:val="both"/>
              <w:rPr>
                <w:rFonts w:ascii="Arial" w:hAnsi="Arial" w:cs="Arial"/>
                <w:sz w:val="21"/>
              </w:rPr>
            </w:pPr>
          </w:p>
          <w:p w14:paraId="439EEC0E" w14:textId="77777777" w:rsidR="009C11AD" w:rsidRDefault="00380151" w:rsidP="00DD6544">
            <w:pPr>
              <w:spacing w:line="293" w:lineRule="auto"/>
              <w:jc w:val="both"/>
              <w:rPr>
                <w:rFonts w:ascii="Arial" w:hAnsi="Arial" w:cs="Arial"/>
                <w:sz w:val="21"/>
              </w:rPr>
            </w:pPr>
            <w:r>
              <w:rPr>
                <w:rFonts w:ascii="Arial" w:hAnsi="Arial" w:cs="Arial"/>
                <w:sz w:val="21"/>
              </w:rPr>
              <w:t xml:space="preserve">The table B in in the SA lists the developable 2021 HELAA sites (Housing and Economic Land Availability Assessment). It includes Site Ref </w:t>
            </w:r>
            <w:r w:rsidRPr="00380151">
              <w:rPr>
                <w:rFonts w:ascii="Arial" w:hAnsi="Arial" w:cs="Arial"/>
                <w:sz w:val="21"/>
              </w:rPr>
              <w:t>HSI0004</w:t>
            </w:r>
            <w:r>
              <w:rPr>
                <w:rFonts w:ascii="Arial" w:hAnsi="Arial" w:cs="Arial"/>
                <w:sz w:val="21"/>
              </w:rPr>
              <w:t xml:space="preserve"> at Sidlesham on page 86. Across a range of performance indicators the site scores 13 green, 4 light green, and 3 red points. </w:t>
            </w:r>
            <w:r w:rsidRPr="00380151">
              <w:rPr>
                <w:rFonts w:ascii="Arial" w:hAnsi="Arial" w:cs="Arial"/>
                <w:sz w:val="21"/>
              </w:rPr>
              <w:t>Red indicates a significant negative effect; light green a positive; and green a significant positive effect.</w:t>
            </w:r>
          </w:p>
          <w:p w14:paraId="6446BCD8" w14:textId="75421E2B" w:rsidR="00380151" w:rsidRDefault="009C11AD" w:rsidP="00DD6544">
            <w:pPr>
              <w:spacing w:line="293" w:lineRule="auto"/>
              <w:jc w:val="both"/>
              <w:rPr>
                <w:rFonts w:ascii="Arial" w:hAnsi="Arial" w:cs="Arial"/>
                <w:sz w:val="21"/>
              </w:rPr>
            </w:pPr>
            <w:r>
              <w:rPr>
                <w:rFonts w:ascii="Arial" w:hAnsi="Arial" w:cs="Arial"/>
                <w:sz w:val="21"/>
              </w:rPr>
              <w:t xml:space="preserve">Despite the very positive scoring of the site, it has been completely overlooked for any development because of the ranking of Sidlesham as within the ‘rest of the plan area’ category. </w:t>
            </w:r>
            <w:r w:rsidR="00380151" w:rsidRPr="00380151">
              <w:rPr>
                <w:rFonts w:ascii="Arial" w:hAnsi="Arial" w:cs="Arial"/>
                <w:sz w:val="21"/>
              </w:rPr>
              <w:t xml:space="preserve"> </w:t>
            </w:r>
          </w:p>
          <w:p w14:paraId="0FA653C7" w14:textId="7AE8BAA1" w:rsidR="00B940CF" w:rsidRDefault="00B940CF" w:rsidP="00DD6544">
            <w:pPr>
              <w:spacing w:line="293" w:lineRule="auto"/>
              <w:jc w:val="both"/>
              <w:rPr>
                <w:rFonts w:ascii="Arial" w:hAnsi="Arial" w:cs="Arial"/>
                <w:sz w:val="21"/>
              </w:rPr>
            </w:pPr>
          </w:p>
          <w:p w14:paraId="7A3D0BB8" w14:textId="77777777" w:rsidR="008A1016" w:rsidRPr="00DD6544" w:rsidRDefault="008A1016" w:rsidP="008A1016">
            <w:pPr>
              <w:spacing w:line="293" w:lineRule="auto"/>
              <w:jc w:val="both"/>
              <w:rPr>
                <w:rFonts w:ascii="Arial" w:hAnsi="Arial" w:cs="Arial"/>
                <w:b/>
                <w:bCs/>
                <w:sz w:val="21"/>
              </w:rPr>
            </w:pPr>
            <w:r w:rsidRPr="00DD6544">
              <w:rPr>
                <w:rFonts w:ascii="Arial" w:hAnsi="Arial" w:cs="Arial"/>
                <w:b/>
                <w:bCs/>
                <w:sz w:val="21"/>
              </w:rPr>
              <w:t>Policy S2 – Settlement Hierarchy</w:t>
            </w:r>
          </w:p>
          <w:p w14:paraId="49866258" w14:textId="406E2236" w:rsidR="007A6D90" w:rsidRPr="007A6D90" w:rsidRDefault="00DD6544" w:rsidP="007A6D90">
            <w:pPr>
              <w:spacing w:line="293" w:lineRule="auto"/>
              <w:jc w:val="both"/>
              <w:rPr>
                <w:rFonts w:ascii="Arial" w:hAnsi="Arial" w:cs="Arial"/>
                <w:sz w:val="21"/>
              </w:rPr>
            </w:pPr>
            <w:r w:rsidRPr="00DD6544">
              <w:rPr>
                <w:rFonts w:ascii="Arial" w:hAnsi="Arial" w:cs="Arial"/>
                <w:sz w:val="21"/>
              </w:rPr>
              <w:t xml:space="preserve">The Settlement Hierarchy background paper </w:t>
            </w:r>
            <w:r w:rsidR="008A1016">
              <w:rPr>
                <w:rFonts w:ascii="Arial" w:hAnsi="Arial" w:cs="Arial"/>
                <w:sz w:val="21"/>
              </w:rPr>
              <w:t xml:space="preserve">was prepared for the last Preferred Options Local Plan in Dec 2018. It has not been updated for the Submission Plan but </w:t>
            </w:r>
            <w:r w:rsidRPr="00DD6544">
              <w:rPr>
                <w:rFonts w:ascii="Arial" w:hAnsi="Arial" w:cs="Arial"/>
                <w:sz w:val="21"/>
              </w:rPr>
              <w:t xml:space="preserve">provides justification for the hierarchy in Policy </w:t>
            </w:r>
            <w:r w:rsidR="008A1016">
              <w:rPr>
                <w:rFonts w:ascii="Arial" w:hAnsi="Arial" w:cs="Arial"/>
                <w:sz w:val="21"/>
              </w:rPr>
              <w:t>S</w:t>
            </w:r>
            <w:r w:rsidRPr="00DD6544">
              <w:rPr>
                <w:rFonts w:ascii="Arial" w:hAnsi="Arial" w:cs="Arial"/>
                <w:sz w:val="21"/>
              </w:rPr>
              <w:t>2 of the Local Plan. It forms the basis for the proposed distribution of growth by distinguishing between those settlements considered to be the most sustainable having the best range of facilities and accessibility from those with the least. Most development is focused on the former and development to meet local needs or no development whatsoever on the latter. Paragraph 4.8 of the background paper includes Sidlesham in the ‘rest of the plan area’ least suited for development</w:t>
            </w:r>
            <w:r w:rsidR="007A6D90">
              <w:t xml:space="preserve"> </w:t>
            </w:r>
            <w:r w:rsidR="007A6D90" w:rsidRPr="007A6D90">
              <w:rPr>
                <w:rFonts w:ascii="Arial" w:hAnsi="Arial" w:cs="Arial"/>
                <w:sz w:val="21"/>
              </w:rPr>
              <w:t xml:space="preserve">because it does ‘not contain the range of facilities and services to be classified as sustainable’. </w:t>
            </w:r>
          </w:p>
          <w:p w14:paraId="43779499" w14:textId="77777777" w:rsidR="007A6D90" w:rsidRPr="007A6D90" w:rsidRDefault="007A6D90" w:rsidP="007A6D90">
            <w:pPr>
              <w:spacing w:line="293" w:lineRule="auto"/>
              <w:jc w:val="both"/>
              <w:rPr>
                <w:rFonts w:ascii="Arial" w:hAnsi="Arial" w:cs="Arial"/>
                <w:sz w:val="21"/>
              </w:rPr>
            </w:pPr>
          </w:p>
          <w:p w14:paraId="5D8C881F" w14:textId="6264B568" w:rsidR="007A6D90" w:rsidRPr="007A6D90" w:rsidRDefault="007A6D90" w:rsidP="007A6D90">
            <w:pPr>
              <w:spacing w:line="293" w:lineRule="auto"/>
              <w:jc w:val="both"/>
              <w:rPr>
                <w:rFonts w:ascii="Arial" w:hAnsi="Arial" w:cs="Arial"/>
                <w:sz w:val="21"/>
              </w:rPr>
            </w:pPr>
            <w:r w:rsidRPr="007A6D90">
              <w:rPr>
                <w:rFonts w:ascii="Arial" w:hAnsi="Arial" w:cs="Arial"/>
                <w:sz w:val="21"/>
              </w:rPr>
              <w:t xml:space="preserve">We </w:t>
            </w:r>
            <w:r w:rsidR="009C11AD">
              <w:rPr>
                <w:rFonts w:ascii="Arial" w:hAnsi="Arial" w:cs="Arial"/>
                <w:sz w:val="21"/>
              </w:rPr>
              <w:t xml:space="preserve">therefore </w:t>
            </w:r>
            <w:r w:rsidRPr="007A6D90">
              <w:rPr>
                <w:rFonts w:ascii="Arial" w:hAnsi="Arial" w:cs="Arial"/>
                <w:sz w:val="21"/>
              </w:rPr>
              <w:t xml:space="preserve">disagree with this classification and believe Sidlesham should be included as a ‘service village in the hierarchy based on its population and range of available facilities. </w:t>
            </w:r>
          </w:p>
          <w:p w14:paraId="734F0598" w14:textId="77777777" w:rsidR="007A6D90" w:rsidRPr="007A6D90" w:rsidRDefault="007A6D90" w:rsidP="007A6D90">
            <w:pPr>
              <w:spacing w:line="293" w:lineRule="auto"/>
              <w:jc w:val="both"/>
              <w:rPr>
                <w:rFonts w:ascii="Arial" w:hAnsi="Arial" w:cs="Arial"/>
                <w:sz w:val="21"/>
              </w:rPr>
            </w:pPr>
          </w:p>
          <w:p w14:paraId="39968D7B" w14:textId="77777777" w:rsidR="007A6D90" w:rsidRPr="007A6D90" w:rsidRDefault="007A6D90" w:rsidP="007A6D90">
            <w:pPr>
              <w:spacing w:line="293" w:lineRule="auto"/>
              <w:jc w:val="both"/>
              <w:rPr>
                <w:rFonts w:ascii="Arial" w:hAnsi="Arial" w:cs="Arial"/>
                <w:sz w:val="21"/>
              </w:rPr>
            </w:pPr>
            <w:r w:rsidRPr="007A6D90">
              <w:rPr>
                <w:rFonts w:ascii="Arial" w:hAnsi="Arial" w:cs="Arial"/>
                <w:sz w:val="21"/>
              </w:rPr>
              <w:lastRenderedPageBreak/>
              <w:t>The Councils own Settlement Capacity Profile 2013 shows Sidlesham with a population of over 1,100. This historic population is more than Boxgrove, Kirdford and Westhampnett which are all service villages in Policy 2 of this draft Local Plan.</w:t>
            </w:r>
          </w:p>
          <w:p w14:paraId="5FBE8BDC" w14:textId="77777777" w:rsidR="007A6D90" w:rsidRPr="007A6D90" w:rsidRDefault="007A6D90" w:rsidP="007A6D90">
            <w:pPr>
              <w:spacing w:line="293" w:lineRule="auto"/>
              <w:jc w:val="both"/>
              <w:rPr>
                <w:rFonts w:ascii="Arial" w:hAnsi="Arial" w:cs="Arial"/>
                <w:sz w:val="21"/>
              </w:rPr>
            </w:pPr>
          </w:p>
          <w:p w14:paraId="2C087182" w14:textId="13C3F99C" w:rsidR="007A6D90" w:rsidRPr="007A6D90" w:rsidRDefault="007A6D90" w:rsidP="007A6D90">
            <w:pPr>
              <w:spacing w:line="293" w:lineRule="auto"/>
              <w:jc w:val="both"/>
              <w:rPr>
                <w:rFonts w:ascii="Arial" w:hAnsi="Arial" w:cs="Arial"/>
                <w:sz w:val="21"/>
              </w:rPr>
            </w:pPr>
            <w:r w:rsidRPr="007A6D90">
              <w:rPr>
                <w:rFonts w:ascii="Arial" w:hAnsi="Arial" w:cs="Arial"/>
                <w:sz w:val="21"/>
              </w:rPr>
              <w:t xml:space="preserve">Sidlesham has 4 employment areas at Enbourne Business Park, Walnut Tree Science Park Locks Lane, Jury Lane and the Horticultural Development Area. Community facilities include a petrol filling station with convenience store and off licence, church, recreation ground and football field with licensed bar and hall, primary school with sports hall available for wider community use, 2 other pubs (one a ‘gastro pub’ at Sidlesham Quay). Access to bus services are available from the B2145, 1 regular daytime bus service (51) linking to Chichester &amp; Selsey (Most frequent daytime service, every 15 minutes). A more irregular daytime bus service (150) is on Mondays, Wednesdays and Fridays (3 daytime services in each direction). </w:t>
            </w:r>
          </w:p>
          <w:p w14:paraId="5AF741FF" w14:textId="77777777" w:rsidR="007A6D90" w:rsidRPr="007A6D90" w:rsidRDefault="007A6D90" w:rsidP="007A6D90">
            <w:pPr>
              <w:spacing w:line="293" w:lineRule="auto"/>
              <w:jc w:val="both"/>
              <w:rPr>
                <w:rFonts w:ascii="Arial" w:hAnsi="Arial" w:cs="Arial"/>
                <w:sz w:val="21"/>
              </w:rPr>
            </w:pPr>
          </w:p>
          <w:p w14:paraId="5AABAF33" w14:textId="12210934" w:rsidR="007A6D90" w:rsidRPr="007A6D90" w:rsidRDefault="0038147C" w:rsidP="007A6D90">
            <w:pPr>
              <w:spacing w:line="293" w:lineRule="auto"/>
              <w:jc w:val="both"/>
              <w:rPr>
                <w:rFonts w:ascii="Arial" w:hAnsi="Arial" w:cs="Arial"/>
                <w:sz w:val="21"/>
              </w:rPr>
            </w:pPr>
            <w:r>
              <w:rPr>
                <w:rFonts w:ascii="Arial" w:hAnsi="Arial" w:cs="Arial"/>
                <w:sz w:val="21"/>
              </w:rPr>
              <w:t>Based on this range of facilities w</w:t>
            </w:r>
            <w:r w:rsidR="007A6D90" w:rsidRPr="007A6D90">
              <w:rPr>
                <w:rFonts w:ascii="Arial" w:hAnsi="Arial" w:cs="Arial"/>
                <w:sz w:val="21"/>
              </w:rPr>
              <w:t>e therefore believe Sidlesham should be re-</w:t>
            </w:r>
            <w:r w:rsidRPr="007A6D90">
              <w:rPr>
                <w:rFonts w:ascii="Arial" w:hAnsi="Arial" w:cs="Arial"/>
                <w:sz w:val="21"/>
              </w:rPr>
              <w:t>categorised</w:t>
            </w:r>
            <w:r w:rsidR="007A6D90" w:rsidRPr="007A6D90">
              <w:rPr>
                <w:rFonts w:ascii="Arial" w:hAnsi="Arial" w:cs="Arial"/>
                <w:sz w:val="21"/>
              </w:rPr>
              <w:t xml:space="preserve"> as a service village and allocated for</w:t>
            </w:r>
            <w:r>
              <w:rPr>
                <w:rFonts w:ascii="Arial" w:hAnsi="Arial" w:cs="Arial"/>
                <w:sz w:val="21"/>
              </w:rPr>
              <w:t xml:space="preserve"> a modest amount of development. This would support its existing facilities and the settlement hubs of Selsey and West Wittering. A modest amount of development need not lead to critical impacts on the A27 as travel impacts would not necessarily be attracted towards Chichester.</w:t>
            </w:r>
          </w:p>
          <w:p w14:paraId="076D1005" w14:textId="77777777" w:rsidR="007A6D90" w:rsidRPr="007A6D90" w:rsidRDefault="007A6D90" w:rsidP="007A6D90">
            <w:pPr>
              <w:spacing w:line="293" w:lineRule="auto"/>
              <w:jc w:val="both"/>
              <w:rPr>
                <w:rFonts w:ascii="Arial" w:hAnsi="Arial" w:cs="Arial"/>
                <w:sz w:val="21"/>
              </w:rPr>
            </w:pPr>
          </w:p>
          <w:p w14:paraId="7E0C5725" w14:textId="0147AF4D" w:rsidR="007A6D90" w:rsidRPr="0038147C" w:rsidRDefault="007A6D90" w:rsidP="007A6D90">
            <w:pPr>
              <w:spacing w:line="293" w:lineRule="auto"/>
              <w:jc w:val="both"/>
              <w:rPr>
                <w:rFonts w:ascii="Arial" w:hAnsi="Arial" w:cs="Arial"/>
                <w:b/>
                <w:bCs/>
                <w:sz w:val="21"/>
              </w:rPr>
            </w:pPr>
            <w:r w:rsidRPr="0038147C">
              <w:rPr>
                <w:rFonts w:ascii="Arial" w:hAnsi="Arial" w:cs="Arial"/>
                <w:b/>
                <w:bCs/>
                <w:sz w:val="21"/>
              </w:rPr>
              <w:t xml:space="preserve">Policy </w:t>
            </w:r>
            <w:r w:rsidR="0038147C">
              <w:rPr>
                <w:rFonts w:ascii="Arial" w:hAnsi="Arial" w:cs="Arial"/>
                <w:b/>
                <w:bCs/>
                <w:sz w:val="21"/>
              </w:rPr>
              <w:t>H</w:t>
            </w:r>
            <w:r w:rsidR="0038147C" w:rsidRPr="0038147C">
              <w:rPr>
                <w:rFonts w:ascii="Arial" w:hAnsi="Arial" w:cs="Arial"/>
                <w:b/>
                <w:bCs/>
                <w:sz w:val="21"/>
              </w:rPr>
              <w:t>3</w:t>
            </w:r>
            <w:r w:rsidRPr="0038147C">
              <w:rPr>
                <w:rFonts w:ascii="Arial" w:hAnsi="Arial" w:cs="Arial"/>
                <w:b/>
                <w:bCs/>
                <w:sz w:val="21"/>
              </w:rPr>
              <w:t xml:space="preserve"> – </w:t>
            </w:r>
            <w:r w:rsidR="0038147C" w:rsidRPr="0038147C">
              <w:rPr>
                <w:rFonts w:ascii="Arial" w:hAnsi="Arial" w:cs="Arial"/>
                <w:b/>
                <w:bCs/>
                <w:sz w:val="21"/>
              </w:rPr>
              <w:t>Parish housing Sites</w:t>
            </w:r>
          </w:p>
          <w:p w14:paraId="3E609F57" w14:textId="28FD53DC" w:rsidR="007A6D90" w:rsidRPr="007A6D90" w:rsidRDefault="007A6D90" w:rsidP="007A6D90">
            <w:pPr>
              <w:spacing w:line="293" w:lineRule="auto"/>
              <w:jc w:val="both"/>
              <w:rPr>
                <w:rFonts w:ascii="Arial" w:hAnsi="Arial" w:cs="Arial"/>
                <w:sz w:val="21"/>
              </w:rPr>
            </w:pPr>
            <w:r w:rsidRPr="007A6D90">
              <w:rPr>
                <w:rFonts w:ascii="Arial" w:hAnsi="Arial" w:cs="Arial"/>
                <w:sz w:val="21"/>
              </w:rPr>
              <w:t xml:space="preserve">We have already explained our reasons why Sidlesham should be included as a ‘service village’ in the hierarchy in connection with S2. Based on this </w:t>
            </w:r>
            <w:r w:rsidR="009C11AD">
              <w:rPr>
                <w:rFonts w:ascii="Arial" w:hAnsi="Arial" w:cs="Arial"/>
                <w:sz w:val="21"/>
              </w:rPr>
              <w:t xml:space="preserve">revision to the hierarchy, </w:t>
            </w:r>
            <w:r w:rsidRPr="007A6D90">
              <w:rPr>
                <w:rFonts w:ascii="Arial" w:hAnsi="Arial" w:cs="Arial"/>
                <w:sz w:val="21"/>
              </w:rPr>
              <w:t xml:space="preserve">it follows that some housing </w:t>
            </w:r>
            <w:r w:rsidR="009C11AD">
              <w:rPr>
                <w:rFonts w:ascii="Arial" w:hAnsi="Arial" w:cs="Arial"/>
                <w:sz w:val="21"/>
              </w:rPr>
              <w:t xml:space="preserve">should be directed </w:t>
            </w:r>
            <w:r w:rsidRPr="007A6D90">
              <w:rPr>
                <w:rFonts w:ascii="Arial" w:hAnsi="Arial" w:cs="Arial"/>
                <w:sz w:val="21"/>
              </w:rPr>
              <w:t>to Sidlesham. We believe a</w:t>
            </w:r>
            <w:r w:rsidR="00B17397">
              <w:rPr>
                <w:rFonts w:ascii="Arial" w:hAnsi="Arial" w:cs="Arial"/>
                <w:sz w:val="21"/>
              </w:rPr>
              <w:t xml:space="preserve"> parish </w:t>
            </w:r>
            <w:r w:rsidRPr="007A6D90">
              <w:rPr>
                <w:rFonts w:ascii="Arial" w:hAnsi="Arial" w:cs="Arial"/>
                <w:sz w:val="21"/>
              </w:rPr>
              <w:t xml:space="preserve">allocation of the order of </w:t>
            </w:r>
            <w:r w:rsidR="009C11AD">
              <w:rPr>
                <w:rFonts w:ascii="Arial" w:hAnsi="Arial" w:cs="Arial"/>
                <w:sz w:val="21"/>
              </w:rPr>
              <w:t>3</w:t>
            </w:r>
            <w:r w:rsidRPr="007A6D90">
              <w:rPr>
                <w:rFonts w:ascii="Arial" w:hAnsi="Arial" w:cs="Arial"/>
                <w:sz w:val="21"/>
              </w:rPr>
              <w:t>5-</w:t>
            </w:r>
            <w:r w:rsidR="009C11AD">
              <w:rPr>
                <w:rFonts w:ascii="Arial" w:hAnsi="Arial" w:cs="Arial"/>
                <w:sz w:val="21"/>
              </w:rPr>
              <w:t>7</w:t>
            </w:r>
            <w:r w:rsidRPr="007A6D90">
              <w:rPr>
                <w:rFonts w:ascii="Arial" w:hAnsi="Arial" w:cs="Arial"/>
                <w:sz w:val="21"/>
              </w:rPr>
              <w:t>0 dwellings would be justified.</w:t>
            </w:r>
          </w:p>
          <w:p w14:paraId="1BCD9C8E" w14:textId="77777777" w:rsidR="007A6D90" w:rsidRPr="007A6D90" w:rsidRDefault="007A6D90" w:rsidP="007A6D90">
            <w:pPr>
              <w:spacing w:line="293" w:lineRule="auto"/>
              <w:jc w:val="both"/>
              <w:rPr>
                <w:rFonts w:ascii="Arial" w:hAnsi="Arial" w:cs="Arial"/>
                <w:sz w:val="21"/>
              </w:rPr>
            </w:pPr>
          </w:p>
          <w:p w14:paraId="39FBC628" w14:textId="032B2473" w:rsidR="007A6D90" w:rsidRPr="007A6D90" w:rsidRDefault="007A6D90" w:rsidP="007A6D90">
            <w:pPr>
              <w:spacing w:line="293" w:lineRule="auto"/>
              <w:jc w:val="both"/>
              <w:rPr>
                <w:rFonts w:ascii="Arial" w:hAnsi="Arial" w:cs="Arial"/>
                <w:sz w:val="21"/>
              </w:rPr>
            </w:pPr>
            <w:r w:rsidRPr="007A6D90">
              <w:rPr>
                <w:rFonts w:ascii="Arial" w:hAnsi="Arial" w:cs="Arial"/>
                <w:sz w:val="21"/>
              </w:rPr>
              <w:t xml:space="preserve">Assuming this is accepted we would point out that </w:t>
            </w:r>
            <w:r w:rsidR="009C11AD">
              <w:rPr>
                <w:rFonts w:ascii="Arial" w:hAnsi="Arial" w:cs="Arial"/>
                <w:sz w:val="21"/>
              </w:rPr>
              <w:t xml:space="preserve">the 2021 HELAA </w:t>
            </w:r>
            <w:r w:rsidR="009C11AD" w:rsidRPr="009C11AD">
              <w:rPr>
                <w:rFonts w:ascii="Arial" w:hAnsi="Arial" w:cs="Arial"/>
                <w:sz w:val="21"/>
              </w:rPr>
              <w:t xml:space="preserve">Site Ref HSI0004 </w:t>
            </w:r>
            <w:r w:rsidR="009C11AD">
              <w:rPr>
                <w:rFonts w:ascii="Arial" w:hAnsi="Arial" w:cs="Arial"/>
                <w:sz w:val="21"/>
              </w:rPr>
              <w:t>referred to above is still</w:t>
            </w:r>
            <w:r w:rsidRPr="007A6D90">
              <w:rPr>
                <w:rFonts w:ascii="Arial" w:hAnsi="Arial" w:cs="Arial"/>
                <w:sz w:val="21"/>
              </w:rPr>
              <w:t xml:space="preserve"> available at Greenwood Nursery Highleigh Road Sidlesham</w:t>
            </w:r>
            <w:r w:rsidR="009C11AD">
              <w:rPr>
                <w:rFonts w:ascii="Arial" w:hAnsi="Arial" w:cs="Arial"/>
                <w:sz w:val="21"/>
              </w:rPr>
              <w:t>.</w:t>
            </w:r>
            <w:r w:rsidRPr="007A6D90">
              <w:rPr>
                <w:rFonts w:ascii="Arial" w:hAnsi="Arial" w:cs="Arial"/>
                <w:sz w:val="21"/>
              </w:rPr>
              <w:t xml:space="preserve"> </w:t>
            </w:r>
            <w:r w:rsidR="00B17397">
              <w:rPr>
                <w:rFonts w:ascii="Arial" w:hAnsi="Arial" w:cs="Arial"/>
                <w:sz w:val="21"/>
              </w:rPr>
              <w:t xml:space="preserve">The Council said the site </w:t>
            </w:r>
            <w:r w:rsidR="00580353">
              <w:rPr>
                <w:rFonts w:ascii="Arial" w:hAnsi="Arial" w:cs="Arial"/>
                <w:sz w:val="21"/>
              </w:rPr>
              <w:t xml:space="preserve">was deliverable and </w:t>
            </w:r>
            <w:r w:rsidR="00B17397">
              <w:rPr>
                <w:rFonts w:ascii="Arial" w:hAnsi="Arial" w:cs="Arial"/>
                <w:sz w:val="21"/>
              </w:rPr>
              <w:t>had an identified</w:t>
            </w:r>
            <w:r w:rsidR="009C11AD">
              <w:rPr>
                <w:rFonts w:ascii="Arial" w:hAnsi="Arial" w:cs="Arial"/>
                <w:sz w:val="21"/>
              </w:rPr>
              <w:t xml:space="preserve"> capacity of around 35-67</w:t>
            </w:r>
            <w:r w:rsidR="00B17397">
              <w:rPr>
                <w:rFonts w:ascii="Arial" w:hAnsi="Arial" w:cs="Arial"/>
                <w:sz w:val="21"/>
              </w:rPr>
              <w:t xml:space="preserve"> </w:t>
            </w:r>
            <w:r w:rsidRPr="007A6D90">
              <w:rPr>
                <w:rFonts w:ascii="Arial" w:hAnsi="Arial" w:cs="Arial"/>
                <w:sz w:val="21"/>
              </w:rPr>
              <w:t>dwellings</w:t>
            </w:r>
            <w:r w:rsidR="00580353">
              <w:rPr>
                <w:rFonts w:ascii="Arial" w:hAnsi="Arial" w:cs="Arial"/>
                <w:sz w:val="21"/>
              </w:rPr>
              <w:t>. A</w:t>
            </w:r>
            <w:r w:rsidR="00B17397">
              <w:rPr>
                <w:rFonts w:ascii="Arial" w:hAnsi="Arial" w:cs="Arial"/>
                <w:sz w:val="21"/>
              </w:rPr>
              <w:t xml:space="preserve"> draft layout plan is attached showing a 35 dwelling scheme</w:t>
            </w:r>
            <w:r w:rsidRPr="007A6D90">
              <w:rPr>
                <w:rFonts w:ascii="Arial" w:hAnsi="Arial" w:cs="Arial"/>
                <w:sz w:val="21"/>
              </w:rPr>
              <w:t>. The site is outside the designated horticultural development area, within flood zone 1 (least liable to flood) and has no biodiversity or heritage interest. It is located outside the Chichester Harbour Area of Outstanding Natural Beauty. It has a footpath link to the nearby school.</w:t>
            </w:r>
          </w:p>
          <w:p w14:paraId="0AEDCCD1" w14:textId="77777777" w:rsidR="007A6D90" w:rsidRPr="007A6D90" w:rsidRDefault="007A6D90" w:rsidP="007A6D90">
            <w:pPr>
              <w:spacing w:line="293" w:lineRule="auto"/>
              <w:jc w:val="both"/>
              <w:rPr>
                <w:rFonts w:ascii="Arial" w:hAnsi="Arial" w:cs="Arial"/>
                <w:sz w:val="21"/>
              </w:rPr>
            </w:pPr>
          </w:p>
          <w:p w14:paraId="5D914DEA" w14:textId="330BBF3A" w:rsidR="00273A02" w:rsidRDefault="007A6D90" w:rsidP="007A6D90">
            <w:pPr>
              <w:spacing w:line="293" w:lineRule="auto"/>
              <w:jc w:val="both"/>
              <w:rPr>
                <w:rFonts w:ascii="Arial" w:hAnsi="Arial" w:cs="Arial"/>
                <w:sz w:val="21"/>
              </w:rPr>
            </w:pPr>
            <w:r w:rsidRPr="007A6D90">
              <w:rPr>
                <w:rFonts w:ascii="Arial" w:hAnsi="Arial" w:cs="Arial"/>
                <w:sz w:val="21"/>
              </w:rPr>
              <w:t xml:space="preserve">The proposal would generate fewer trips (and no HGV’s) compared to the existing nursery business. </w:t>
            </w:r>
          </w:p>
          <w:p w14:paraId="64962098" w14:textId="77777777" w:rsidR="00D3559A" w:rsidRDefault="00D3559A" w:rsidP="00E347A5">
            <w:pPr>
              <w:spacing w:line="293" w:lineRule="auto"/>
              <w:jc w:val="both"/>
              <w:rPr>
                <w:rFonts w:ascii="Arial" w:hAnsi="Arial" w:cs="Arial"/>
                <w:sz w:val="21"/>
              </w:rPr>
            </w:pPr>
          </w:p>
          <w:p w14:paraId="48A4487B" w14:textId="617D783D" w:rsidR="00D3559A" w:rsidRDefault="00D3559A" w:rsidP="0050763E">
            <w:pPr>
              <w:spacing w:line="293" w:lineRule="auto"/>
              <w:jc w:val="both"/>
              <w:rPr>
                <w:rFonts w:ascii="Arial" w:hAnsi="Arial" w:cs="Arial"/>
                <w:sz w:val="21"/>
              </w:rPr>
            </w:pPr>
          </w:p>
          <w:p w14:paraId="194EC570" w14:textId="437A65AD" w:rsidR="004D6E75" w:rsidRPr="0050763E" w:rsidRDefault="004D6E75" w:rsidP="0050763E">
            <w:pPr>
              <w:spacing w:line="293" w:lineRule="auto"/>
              <w:jc w:val="both"/>
              <w:rPr>
                <w:rFonts w:ascii="Arial" w:hAnsi="Arial" w:cs="Arial"/>
                <w:sz w:val="21"/>
              </w:rPr>
            </w:pPr>
          </w:p>
          <w:p w14:paraId="47693052" w14:textId="296F9E58" w:rsidR="00386FED" w:rsidRDefault="00386FED" w:rsidP="00DD208A">
            <w:pPr>
              <w:spacing w:line="293" w:lineRule="auto"/>
              <w:jc w:val="both"/>
              <w:rPr>
                <w:rFonts w:ascii="Arial" w:eastAsia="Calibri" w:hAnsi="Arial" w:cs="Arial"/>
                <w:sz w:val="21"/>
                <w:szCs w:val="21"/>
                <w:lang w:val="en" w:eastAsia="en-US"/>
              </w:rPr>
            </w:pPr>
          </w:p>
          <w:p w14:paraId="1960F793" w14:textId="77777777" w:rsidR="00401EEF" w:rsidRPr="00401EEF" w:rsidRDefault="00401EEF" w:rsidP="00A8055F">
            <w:pPr>
              <w:spacing w:line="293" w:lineRule="auto"/>
              <w:jc w:val="both"/>
              <w:rPr>
                <w:rFonts w:ascii="Arial" w:eastAsia="Calibri" w:hAnsi="Arial" w:cs="Arial"/>
                <w:bCs/>
                <w:sz w:val="21"/>
                <w:szCs w:val="21"/>
                <w:lang w:val="en" w:eastAsia="en-US"/>
              </w:rPr>
            </w:pPr>
          </w:p>
          <w:p w14:paraId="559836FC" w14:textId="3154B0BA" w:rsidR="00F649B4" w:rsidRDefault="00F649B4" w:rsidP="005B2979">
            <w:pPr>
              <w:suppressAutoHyphens w:val="0"/>
              <w:autoSpaceDN/>
              <w:spacing w:after="200" w:line="293" w:lineRule="auto"/>
              <w:jc w:val="both"/>
              <w:textAlignment w:val="auto"/>
              <w:rPr>
                <w:rFonts w:ascii="Arial" w:eastAsia="Calibri" w:hAnsi="Arial" w:cs="Arial"/>
                <w:sz w:val="21"/>
                <w:szCs w:val="21"/>
                <w:lang w:val="en" w:eastAsia="en-US"/>
              </w:rPr>
            </w:pPr>
          </w:p>
          <w:p w14:paraId="46541DDA" w14:textId="77777777" w:rsidR="00E5653F" w:rsidRPr="00597DE8"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p>
          <w:p w14:paraId="2B867128" w14:textId="77777777" w:rsidR="00DD208A" w:rsidRPr="00DD208A" w:rsidRDefault="00DD208A" w:rsidP="00DD208A">
            <w:pPr>
              <w:suppressAutoHyphens w:val="0"/>
              <w:autoSpaceDN/>
              <w:spacing w:after="200" w:line="293" w:lineRule="auto"/>
              <w:textAlignment w:val="auto"/>
              <w:rPr>
                <w:rFonts w:ascii="Calibri" w:eastAsia="Calibri" w:hAnsi="Calibri"/>
                <w:sz w:val="22"/>
                <w:szCs w:val="22"/>
                <w:lang w:val="en" w:eastAsia="en-US"/>
              </w:rPr>
            </w:pPr>
          </w:p>
          <w:p w14:paraId="5F5DC969" w14:textId="6E73335E" w:rsidR="00AE2F13" w:rsidRDefault="00AE2F13" w:rsidP="00DD208A">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D6CDB96" w14:textId="1430E0C9" w:rsidR="007A6D90" w:rsidRDefault="007A6D90" w:rsidP="00A0252D">
            <w:pPr>
              <w:spacing w:line="293" w:lineRule="auto"/>
              <w:jc w:val="both"/>
              <w:rPr>
                <w:rFonts w:ascii="Arial" w:eastAsia="Calibri" w:hAnsi="Arial" w:cs="Arial"/>
                <w:sz w:val="21"/>
                <w:szCs w:val="21"/>
                <w:lang w:val="en" w:eastAsia="en-US"/>
              </w:rPr>
            </w:pPr>
          </w:p>
          <w:p w14:paraId="75B21433" w14:textId="77777777" w:rsidR="007A6D90" w:rsidRPr="007A6D90" w:rsidRDefault="007A6D90" w:rsidP="007A6D90">
            <w:pPr>
              <w:spacing w:line="293" w:lineRule="auto"/>
              <w:jc w:val="both"/>
              <w:rPr>
                <w:rFonts w:ascii="Arial" w:eastAsia="Calibri" w:hAnsi="Arial" w:cs="Arial"/>
                <w:sz w:val="21"/>
                <w:szCs w:val="21"/>
                <w:lang w:val="en" w:eastAsia="en-US"/>
              </w:rPr>
            </w:pPr>
            <w:r w:rsidRPr="007A6D90">
              <w:rPr>
                <w:rFonts w:ascii="Arial" w:eastAsia="Calibri" w:hAnsi="Arial" w:cs="Arial"/>
                <w:sz w:val="21"/>
                <w:szCs w:val="21"/>
                <w:lang w:val="en" w:eastAsia="en-US"/>
              </w:rPr>
              <w:t>Policy S2 – Sidlesham should be included as a ‘service village’ in the settlement hierarchy of S2. The description of Sidlesham should recognise that this includes Highleigh.</w:t>
            </w:r>
          </w:p>
          <w:p w14:paraId="4BBDE2E3" w14:textId="77777777" w:rsidR="007A6D90" w:rsidRPr="007A6D90" w:rsidRDefault="007A6D90" w:rsidP="007A6D90">
            <w:pPr>
              <w:spacing w:line="293" w:lineRule="auto"/>
              <w:jc w:val="both"/>
              <w:rPr>
                <w:rFonts w:ascii="Arial" w:eastAsia="Calibri" w:hAnsi="Arial" w:cs="Arial"/>
                <w:sz w:val="21"/>
                <w:szCs w:val="21"/>
                <w:lang w:val="en" w:eastAsia="en-US"/>
              </w:rPr>
            </w:pPr>
            <w:r w:rsidRPr="007A6D90">
              <w:rPr>
                <w:rFonts w:ascii="Arial" w:eastAsia="Calibri" w:hAnsi="Arial" w:cs="Arial"/>
                <w:sz w:val="21"/>
                <w:szCs w:val="21"/>
                <w:lang w:val="en" w:eastAsia="en-US"/>
              </w:rPr>
              <w:t xml:space="preserve"> </w:t>
            </w:r>
          </w:p>
          <w:p w14:paraId="13B1695E" w14:textId="40B6AE9F" w:rsidR="007A6D90" w:rsidRDefault="007A6D90" w:rsidP="007A6D90">
            <w:pPr>
              <w:spacing w:line="293" w:lineRule="auto"/>
              <w:jc w:val="both"/>
              <w:rPr>
                <w:rFonts w:ascii="Arial" w:eastAsia="Calibri" w:hAnsi="Arial" w:cs="Arial"/>
                <w:sz w:val="21"/>
                <w:szCs w:val="21"/>
                <w:lang w:val="en" w:eastAsia="en-US"/>
              </w:rPr>
            </w:pPr>
            <w:r w:rsidRPr="007A6D90">
              <w:rPr>
                <w:rFonts w:ascii="Arial" w:eastAsia="Calibri" w:hAnsi="Arial" w:cs="Arial"/>
                <w:sz w:val="21"/>
                <w:szCs w:val="21"/>
                <w:lang w:val="en" w:eastAsia="en-US"/>
              </w:rPr>
              <w:t xml:space="preserve">Policy </w:t>
            </w:r>
            <w:r w:rsidR="009C11AD">
              <w:rPr>
                <w:rFonts w:ascii="Arial" w:eastAsia="Calibri" w:hAnsi="Arial" w:cs="Arial"/>
                <w:sz w:val="21"/>
                <w:szCs w:val="21"/>
                <w:lang w:val="en" w:eastAsia="en-US"/>
              </w:rPr>
              <w:t>H3</w:t>
            </w:r>
            <w:r w:rsidRPr="007A6D90">
              <w:rPr>
                <w:rFonts w:ascii="Arial" w:eastAsia="Calibri" w:hAnsi="Arial" w:cs="Arial"/>
                <w:sz w:val="21"/>
                <w:szCs w:val="21"/>
                <w:lang w:val="en" w:eastAsia="en-US"/>
              </w:rPr>
              <w:t xml:space="preserve"> - Sidlesham should be allocated </w:t>
            </w:r>
            <w:r w:rsidR="009C11AD">
              <w:rPr>
                <w:rFonts w:ascii="Arial" w:eastAsia="Calibri" w:hAnsi="Arial" w:cs="Arial"/>
                <w:sz w:val="21"/>
                <w:szCs w:val="21"/>
                <w:lang w:val="en" w:eastAsia="en-US"/>
              </w:rPr>
              <w:t>around 35-70 dwellings</w:t>
            </w:r>
            <w:r w:rsidRPr="007A6D90">
              <w:rPr>
                <w:rFonts w:ascii="Arial" w:eastAsia="Calibri" w:hAnsi="Arial" w:cs="Arial"/>
                <w:sz w:val="21"/>
                <w:szCs w:val="21"/>
                <w:lang w:val="en" w:eastAsia="en-US"/>
              </w:rPr>
              <w:t>.</w:t>
            </w:r>
          </w:p>
          <w:p w14:paraId="451B700B" w14:textId="48A63E39" w:rsidR="005D234F" w:rsidRDefault="005D234F" w:rsidP="005D234F">
            <w:pPr>
              <w:spacing w:line="293" w:lineRule="auto"/>
              <w:jc w:val="both"/>
              <w:rPr>
                <w:rFonts w:ascii="Arial" w:eastAsia="Calibri" w:hAnsi="Arial" w:cs="Arial"/>
                <w:b/>
                <w:sz w:val="21"/>
                <w:szCs w:val="21"/>
                <w:lang w:val="en"/>
              </w:rPr>
            </w:pPr>
          </w:p>
          <w:p w14:paraId="48CCC769" w14:textId="52058C2D" w:rsidR="00DD208A" w:rsidRPr="00597DE8" w:rsidRDefault="00DD208A" w:rsidP="00DD208A">
            <w:pPr>
              <w:suppressAutoHyphens w:val="0"/>
              <w:autoSpaceDN/>
              <w:spacing w:after="200" w:line="276" w:lineRule="auto"/>
              <w:textAlignment w:val="auto"/>
              <w:rPr>
                <w:rFonts w:ascii="Arial" w:eastAsia="Calibri" w:hAnsi="Arial" w:cs="Arial"/>
                <w:sz w:val="21"/>
                <w:szCs w:val="21"/>
                <w:lang w:eastAsia="en-US"/>
              </w:rPr>
            </w:pPr>
          </w:p>
          <w:p w14:paraId="35A8AC18" w14:textId="77777777" w:rsidR="00AE2F13" w:rsidRPr="006D4D5A" w:rsidRDefault="00AE2F13" w:rsidP="00644675">
            <w:pPr>
              <w:rPr>
                <w:rFonts w:ascii="Arial" w:hAnsi="Arial" w:cs="Arial"/>
                <w:sz w:val="20"/>
              </w:rPr>
            </w:pP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07001D74" w:rsidR="00AE2F13" w:rsidRPr="00820DAB" w:rsidRDefault="00A0252D" w:rsidP="00644675">
            <w:pPr>
              <w:rPr>
                <w:rFonts w:ascii="Arial" w:hAnsi="Arial" w:cs="Arial"/>
                <w:szCs w:val="32"/>
              </w:rPr>
            </w:pPr>
            <w:r>
              <w:rPr>
                <w:rFonts w:ascii="Arial" w:hAnsi="Arial" w:cs="Arial"/>
                <w:szCs w:val="32"/>
              </w:rPr>
              <w:sym w:font="Wingdings" w:char="F0FC"/>
            </w: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445B8B69" w:rsidR="00AE2F13" w:rsidRPr="00820DAB" w:rsidRDefault="00AE2F13" w:rsidP="00644675">
            <w:pPr>
              <w:rPr>
                <w:rFonts w:ascii="Arial" w:hAnsi="Arial" w:cs="Arial"/>
                <w:szCs w:val="32"/>
              </w:rPr>
            </w:pP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lastRenderedPageBreak/>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5A"/>
    <w:multiLevelType w:val="hybridMultilevel"/>
    <w:tmpl w:val="D69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65BE"/>
    <w:multiLevelType w:val="hybridMultilevel"/>
    <w:tmpl w:val="1F5ED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474B"/>
    <w:multiLevelType w:val="hybridMultilevel"/>
    <w:tmpl w:val="B650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F0357"/>
    <w:multiLevelType w:val="hybridMultilevel"/>
    <w:tmpl w:val="AAE4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0A3"/>
    <w:multiLevelType w:val="hybridMultilevel"/>
    <w:tmpl w:val="398620D2"/>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38610">
    <w:abstractNumId w:val="5"/>
  </w:num>
  <w:num w:numId="2" w16cid:durableId="294724611">
    <w:abstractNumId w:val="0"/>
  </w:num>
  <w:num w:numId="3" w16cid:durableId="168254675">
    <w:abstractNumId w:val="3"/>
  </w:num>
  <w:num w:numId="4" w16cid:durableId="1327396719">
    <w:abstractNumId w:val="4"/>
  </w:num>
  <w:num w:numId="5" w16cid:durableId="143664654">
    <w:abstractNumId w:val="2"/>
  </w:num>
  <w:num w:numId="6" w16cid:durableId="92885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41492"/>
    <w:rsid w:val="0008110A"/>
    <w:rsid w:val="000858F0"/>
    <w:rsid w:val="00097247"/>
    <w:rsid w:val="00097611"/>
    <w:rsid w:val="000B1172"/>
    <w:rsid w:val="000D38EA"/>
    <w:rsid w:val="00116908"/>
    <w:rsid w:val="0011739D"/>
    <w:rsid w:val="001D40E9"/>
    <w:rsid w:val="002456D6"/>
    <w:rsid w:val="002655C4"/>
    <w:rsid w:val="00273A02"/>
    <w:rsid w:val="00287096"/>
    <w:rsid w:val="002966F6"/>
    <w:rsid w:val="002C36D8"/>
    <w:rsid w:val="002D00F8"/>
    <w:rsid w:val="002E09B2"/>
    <w:rsid w:val="002F14CC"/>
    <w:rsid w:val="002F77CE"/>
    <w:rsid w:val="00302041"/>
    <w:rsid w:val="003023C0"/>
    <w:rsid w:val="00303D43"/>
    <w:rsid w:val="00320A75"/>
    <w:rsid w:val="00324650"/>
    <w:rsid w:val="00334BC3"/>
    <w:rsid w:val="00351AF2"/>
    <w:rsid w:val="00380151"/>
    <w:rsid w:val="0038147C"/>
    <w:rsid w:val="00381B47"/>
    <w:rsid w:val="00386FED"/>
    <w:rsid w:val="003D2260"/>
    <w:rsid w:val="003E2B6B"/>
    <w:rsid w:val="003F1EE5"/>
    <w:rsid w:val="003F365D"/>
    <w:rsid w:val="003F7191"/>
    <w:rsid w:val="00401EEF"/>
    <w:rsid w:val="004915F7"/>
    <w:rsid w:val="004915FC"/>
    <w:rsid w:val="004C3A20"/>
    <w:rsid w:val="004D5E91"/>
    <w:rsid w:val="004D6E75"/>
    <w:rsid w:val="004E35A9"/>
    <w:rsid w:val="004F2865"/>
    <w:rsid w:val="0050763E"/>
    <w:rsid w:val="00580353"/>
    <w:rsid w:val="00580564"/>
    <w:rsid w:val="00597DE8"/>
    <w:rsid w:val="005B2979"/>
    <w:rsid w:val="005B6332"/>
    <w:rsid w:val="005D234F"/>
    <w:rsid w:val="006018DE"/>
    <w:rsid w:val="0064662B"/>
    <w:rsid w:val="00683D5A"/>
    <w:rsid w:val="006D1989"/>
    <w:rsid w:val="006D2668"/>
    <w:rsid w:val="006D4D5A"/>
    <w:rsid w:val="006E32B0"/>
    <w:rsid w:val="006F3834"/>
    <w:rsid w:val="007079A4"/>
    <w:rsid w:val="00732D5F"/>
    <w:rsid w:val="007A56D5"/>
    <w:rsid w:val="007A6D90"/>
    <w:rsid w:val="007D5EE9"/>
    <w:rsid w:val="007F3F06"/>
    <w:rsid w:val="00810AAA"/>
    <w:rsid w:val="008150D5"/>
    <w:rsid w:val="00820264"/>
    <w:rsid w:val="00820DAB"/>
    <w:rsid w:val="00847E8F"/>
    <w:rsid w:val="008A1016"/>
    <w:rsid w:val="008B77F0"/>
    <w:rsid w:val="008C3256"/>
    <w:rsid w:val="008F4257"/>
    <w:rsid w:val="00910F37"/>
    <w:rsid w:val="009379D0"/>
    <w:rsid w:val="009C0462"/>
    <w:rsid w:val="009C11AD"/>
    <w:rsid w:val="00A0252D"/>
    <w:rsid w:val="00A14C6D"/>
    <w:rsid w:val="00A530B9"/>
    <w:rsid w:val="00A8055F"/>
    <w:rsid w:val="00AA671D"/>
    <w:rsid w:val="00AB2BB4"/>
    <w:rsid w:val="00AE2F13"/>
    <w:rsid w:val="00B0400D"/>
    <w:rsid w:val="00B17397"/>
    <w:rsid w:val="00B26C58"/>
    <w:rsid w:val="00B37722"/>
    <w:rsid w:val="00B43373"/>
    <w:rsid w:val="00B526EF"/>
    <w:rsid w:val="00B6505A"/>
    <w:rsid w:val="00B940CF"/>
    <w:rsid w:val="00BE48CF"/>
    <w:rsid w:val="00BF6EF1"/>
    <w:rsid w:val="00C032EA"/>
    <w:rsid w:val="00C07D2F"/>
    <w:rsid w:val="00C17542"/>
    <w:rsid w:val="00C26F4E"/>
    <w:rsid w:val="00C50DE9"/>
    <w:rsid w:val="00C72C3C"/>
    <w:rsid w:val="00C76903"/>
    <w:rsid w:val="00C92FCE"/>
    <w:rsid w:val="00D3559A"/>
    <w:rsid w:val="00D650E7"/>
    <w:rsid w:val="00DB1679"/>
    <w:rsid w:val="00DD1E6F"/>
    <w:rsid w:val="00DD208A"/>
    <w:rsid w:val="00DD3F9E"/>
    <w:rsid w:val="00DD6544"/>
    <w:rsid w:val="00DF026C"/>
    <w:rsid w:val="00DF71B7"/>
    <w:rsid w:val="00E043A4"/>
    <w:rsid w:val="00E347A5"/>
    <w:rsid w:val="00E55B5A"/>
    <w:rsid w:val="00E5653F"/>
    <w:rsid w:val="00E6708A"/>
    <w:rsid w:val="00EB4A3D"/>
    <w:rsid w:val="00F01492"/>
    <w:rsid w:val="00F5466C"/>
    <w:rsid w:val="00F649B4"/>
    <w:rsid w:val="00FD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4F"/>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D20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1</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Paul White</cp:lastModifiedBy>
  <cp:revision>45</cp:revision>
  <dcterms:created xsi:type="dcterms:W3CDTF">2023-01-23T08:51:00Z</dcterms:created>
  <dcterms:modified xsi:type="dcterms:W3CDTF">2023-03-16T15:08:00Z</dcterms:modified>
</cp:coreProperties>
</file>